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6EE68A2" w14:textId="77777777" w:rsidR="009F4149" w:rsidRDefault="00FE6B9D">
      <w:pPr>
        <w:widowControl w:val="0"/>
        <w:rPr>
          <w:rFonts w:ascii="Arial" w:eastAsia="Arial" w:hAnsi="Arial" w:cs="Arial"/>
          <w:b/>
          <w:bCs/>
          <w:sz w:val="22"/>
          <w:szCs w:val="22"/>
        </w:rPr>
      </w:pPr>
      <w:r>
        <w:rPr>
          <w:rFonts w:ascii="Arial" w:eastAsia="Arial" w:hAnsi="Arial" w:cs="Arial"/>
          <w:b/>
          <w:bCs/>
          <w:sz w:val="22"/>
          <w:szCs w:val="22"/>
        </w:rPr>
        <w:t>FORLA DIRECCIÓN DE INVESTIGACIONES Y CONTROL DE VIVIENDA DE LA SUBSECRETARÍA DE INSPECCIÓN, VIGILANCIA Y CONTROL DE VIVIENDA DE LA SECRETARÍA DISTRITAL DEL HÁBITAT</w:t>
      </w:r>
    </w:p>
    <w:p w14:paraId="06EE68A3" w14:textId="77777777" w:rsidR="009F4149" w:rsidRDefault="009F4149">
      <w:pPr>
        <w:widowControl w:val="0"/>
        <w:jc w:val="center"/>
        <w:rPr>
          <w:rFonts w:ascii="Arial" w:eastAsia="Arial" w:hAnsi="Arial" w:cs="Arial"/>
          <w:b/>
          <w:bCs/>
          <w:sz w:val="22"/>
          <w:szCs w:val="22"/>
        </w:rPr>
      </w:pPr>
    </w:p>
    <w:p w14:paraId="06EE68A4" w14:textId="77777777" w:rsidR="009F4149" w:rsidRDefault="00FE6B9D">
      <w:pPr>
        <w:widowControl w:val="0"/>
        <w:jc w:val="center"/>
        <w:rPr>
          <w:rFonts w:ascii="Arial" w:eastAsia="Arial" w:hAnsi="Arial" w:cs="Arial"/>
          <w:sz w:val="22"/>
          <w:szCs w:val="22"/>
          <w:highlight w:val="white"/>
        </w:rPr>
      </w:pPr>
      <w:r>
        <w:rPr>
          <w:rFonts w:ascii="Arial" w:eastAsia="Arial" w:hAnsi="Arial" w:cs="Arial"/>
          <w:sz w:val="22"/>
          <w:szCs w:val="22"/>
          <w:highlight w:val="white"/>
        </w:rPr>
        <w:t>En ejercicio de las atribuciones conferidas por la Ley 66 de 1968, los Decretos Leyes 2610 de 1979 y 078 de 1987, el Decreto Distrital 653 de 2025, los Acuerdos 079 de 2003 y 735 de 2019, demás normas concordantes, y,</w:t>
      </w:r>
    </w:p>
    <w:p w14:paraId="06EE68A5" w14:textId="77777777" w:rsidR="009F4149" w:rsidRDefault="009F4149">
      <w:pPr>
        <w:widowControl w:val="0"/>
        <w:jc w:val="both"/>
        <w:rPr>
          <w:rFonts w:ascii="Arial" w:eastAsia="Arial" w:hAnsi="Arial" w:cs="Arial"/>
          <w:sz w:val="22"/>
          <w:szCs w:val="22"/>
          <w:highlight w:val="white"/>
        </w:rPr>
      </w:pPr>
    </w:p>
    <w:p w14:paraId="06EE68A6" w14:textId="77777777" w:rsidR="009F4149" w:rsidRDefault="00FE6B9D">
      <w:pPr>
        <w:widowControl w:val="0"/>
        <w:jc w:val="center"/>
        <w:rPr>
          <w:rFonts w:ascii="Arial" w:eastAsia="Arial" w:hAnsi="Arial" w:cs="Arial"/>
          <w:b/>
          <w:bCs/>
          <w:sz w:val="22"/>
          <w:szCs w:val="22"/>
        </w:rPr>
      </w:pPr>
      <w:r>
        <w:rPr>
          <w:rFonts w:ascii="Arial" w:eastAsia="Arial" w:hAnsi="Arial" w:cs="Arial"/>
          <w:b/>
          <w:bCs/>
          <w:sz w:val="22"/>
          <w:szCs w:val="22"/>
        </w:rPr>
        <w:t>CONSIDERANDO</w:t>
      </w:r>
    </w:p>
    <w:p w14:paraId="06EE68A7" w14:textId="77777777" w:rsidR="009F4149" w:rsidRDefault="009F4149">
      <w:pPr>
        <w:widowControl w:val="0"/>
        <w:jc w:val="both"/>
        <w:rPr>
          <w:rFonts w:ascii="Arial" w:eastAsia="Arial" w:hAnsi="Arial" w:cs="Arial"/>
          <w:sz w:val="22"/>
          <w:szCs w:val="22"/>
        </w:rPr>
      </w:pPr>
    </w:p>
    <w:p w14:paraId="06EE68A8" w14:textId="347B5E06" w:rsidR="009F4149" w:rsidRPr="00FF4A0E" w:rsidRDefault="00FE6B9D">
      <w:pPr>
        <w:widowControl w:val="0"/>
        <w:jc w:val="both"/>
        <w:rPr>
          <w:rFonts w:ascii="Arial" w:eastAsia="Arial" w:hAnsi="Arial" w:cs="Arial"/>
          <w:sz w:val="22"/>
          <w:szCs w:val="22"/>
        </w:rPr>
      </w:pPr>
      <w:r>
        <w:rPr>
          <w:rFonts w:ascii="Arial" w:eastAsia="Arial" w:hAnsi="Arial" w:cs="Arial"/>
          <w:sz w:val="22"/>
          <w:szCs w:val="22"/>
          <w:highlight w:val="white"/>
        </w:rPr>
        <w:t xml:space="preserve">Que la </w:t>
      </w:r>
      <w:r>
        <w:rPr>
          <w:rFonts w:ascii="Arial" w:eastAsia="Arial" w:hAnsi="Arial" w:cs="Arial"/>
          <w:sz w:val="22"/>
          <w:szCs w:val="22"/>
        </w:rPr>
        <w:t>Dirección</w:t>
      </w:r>
      <w:r>
        <w:rPr>
          <w:rFonts w:ascii="Arial" w:eastAsia="Arial" w:hAnsi="Arial" w:cs="Arial"/>
          <w:sz w:val="22"/>
          <w:szCs w:val="22"/>
          <w:highlight w:val="white"/>
        </w:rPr>
        <w:t xml:space="preserve"> de Investigaciones y Control de Vivienda de la Subsecretaría de Inspección, Vigilancia y Control de Vivienda de la Secretaría Distrital del Hábitat, en virtud de su competencia y de </w:t>
      </w:r>
      <w:r w:rsidRPr="004F0615">
        <w:rPr>
          <w:rFonts w:ascii="Arial" w:eastAsia="Arial" w:hAnsi="Arial" w:cs="Arial"/>
          <w:sz w:val="22"/>
          <w:szCs w:val="22"/>
          <w:highlight w:val="white"/>
        </w:rPr>
        <w:t xml:space="preserve">conformidad con la Ley 66 de 1968, modificada por el Decreto Ley 2610 de 1979, y el Decreto Ley 078 de 1987, asumió el conocimiento de la queja presentada </w:t>
      </w:r>
      <w:r w:rsidRPr="004F0615">
        <w:rPr>
          <w:rFonts w:ascii="Arial" w:eastAsia="Arial" w:hAnsi="Arial" w:cs="Arial"/>
          <w:sz w:val="22"/>
          <w:szCs w:val="22"/>
        </w:rPr>
        <w:t>por la señora SARA OQUERO en su calidad de propietaria del apartamento 916 torre 1 del Proyecto de vivienda EDIFICIO MULTIFAMILIAR ESPACIO 140</w:t>
      </w:r>
      <w:r w:rsidR="00D81754" w:rsidRPr="004F0615">
        <w:rPr>
          <w:rFonts w:ascii="Arial" w:eastAsia="Arial" w:hAnsi="Arial" w:cs="Arial"/>
          <w:sz w:val="22"/>
          <w:szCs w:val="22"/>
        </w:rPr>
        <w:t xml:space="preserve"> </w:t>
      </w:r>
      <w:r w:rsidRPr="004F0615">
        <w:rPr>
          <w:rFonts w:ascii="Arial" w:eastAsia="Arial" w:hAnsi="Arial" w:cs="Arial"/>
          <w:sz w:val="22"/>
          <w:szCs w:val="22"/>
        </w:rPr>
        <w:t xml:space="preserve">- PROPIEDAD </w:t>
      </w:r>
      <w:r w:rsidRPr="00FF4A0E">
        <w:rPr>
          <w:rFonts w:ascii="Arial" w:eastAsia="Arial" w:hAnsi="Arial" w:cs="Arial"/>
          <w:sz w:val="22"/>
          <w:szCs w:val="22"/>
        </w:rPr>
        <w:t xml:space="preserve">HORIZONTAL, ubicado en la Carrera 11 </w:t>
      </w:r>
      <w:r w:rsidR="00D81754" w:rsidRPr="00FF4A0E">
        <w:rPr>
          <w:rFonts w:ascii="Arial" w:eastAsia="Arial" w:hAnsi="Arial" w:cs="Arial"/>
          <w:sz w:val="22"/>
          <w:szCs w:val="22"/>
        </w:rPr>
        <w:t xml:space="preserve">No. </w:t>
      </w:r>
      <w:r w:rsidRPr="00FF4A0E">
        <w:rPr>
          <w:rFonts w:ascii="Arial" w:eastAsia="Arial" w:hAnsi="Arial" w:cs="Arial"/>
          <w:sz w:val="22"/>
          <w:szCs w:val="22"/>
        </w:rPr>
        <w:t>140</w:t>
      </w:r>
      <w:r w:rsidR="00D81754" w:rsidRPr="00FF4A0E">
        <w:rPr>
          <w:rFonts w:ascii="Arial" w:eastAsia="Arial" w:hAnsi="Arial" w:cs="Arial"/>
          <w:sz w:val="22"/>
          <w:szCs w:val="22"/>
        </w:rPr>
        <w:t xml:space="preserve"> </w:t>
      </w:r>
      <w:r w:rsidRPr="00FF4A0E">
        <w:rPr>
          <w:rFonts w:ascii="Arial" w:eastAsia="Arial" w:hAnsi="Arial" w:cs="Arial"/>
          <w:sz w:val="22"/>
          <w:szCs w:val="22"/>
        </w:rPr>
        <w:t>-</w:t>
      </w:r>
      <w:r w:rsidR="00D81754" w:rsidRPr="00FF4A0E">
        <w:rPr>
          <w:rFonts w:ascii="Arial" w:eastAsia="Arial" w:hAnsi="Arial" w:cs="Arial"/>
          <w:sz w:val="22"/>
          <w:szCs w:val="22"/>
        </w:rPr>
        <w:t xml:space="preserve"> </w:t>
      </w:r>
      <w:r w:rsidRPr="00FF4A0E">
        <w:rPr>
          <w:rFonts w:ascii="Arial" w:eastAsia="Arial" w:hAnsi="Arial" w:cs="Arial"/>
          <w:sz w:val="22"/>
          <w:szCs w:val="22"/>
        </w:rPr>
        <w:t>52 en Bogotá</w:t>
      </w:r>
      <w:r w:rsidR="00D81754" w:rsidRPr="00FF4A0E">
        <w:rPr>
          <w:rFonts w:ascii="Arial" w:eastAsia="Arial" w:hAnsi="Arial" w:cs="Arial"/>
          <w:sz w:val="22"/>
          <w:szCs w:val="22"/>
        </w:rPr>
        <w:t xml:space="preserve">, </w:t>
      </w:r>
      <w:r w:rsidRPr="00FF4A0E">
        <w:rPr>
          <w:rFonts w:ascii="Arial" w:eastAsia="Arial" w:hAnsi="Arial" w:cs="Arial"/>
          <w:sz w:val="22"/>
          <w:szCs w:val="22"/>
        </w:rPr>
        <w:t xml:space="preserve">por las presuntas irregularidades </w:t>
      </w:r>
      <w:r w:rsidR="00B07211" w:rsidRPr="00FF4A0E">
        <w:rPr>
          <w:rFonts w:ascii="Arial" w:eastAsia="Arial" w:hAnsi="Arial" w:cs="Arial"/>
          <w:sz w:val="22"/>
          <w:szCs w:val="22"/>
        </w:rPr>
        <w:t xml:space="preserve">presentadas </w:t>
      </w:r>
      <w:r w:rsidRPr="00FF4A0E">
        <w:rPr>
          <w:rFonts w:ascii="Arial" w:eastAsia="Arial" w:hAnsi="Arial" w:cs="Arial"/>
          <w:sz w:val="22"/>
          <w:szCs w:val="22"/>
        </w:rPr>
        <w:t xml:space="preserve">en las </w:t>
      </w:r>
      <w:r w:rsidR="00B07211" w:rsidRPr="00FF4A0E">
        <w:rPr>
          <w:rFonts w:ascii="Arial" w:eastAsia="Arial" w:hAnsi="Arial" w:cs="Arial"/>
          <w:sz w:val="22"/>
          <w:szCs w:val="22"/>
        </w:rPr>
        <w:t xml:space="preserve">áreas </w:t>
      </w:r>
      <w:r w:rsidRPr="00FF4A0E">
        <w:rPr>
          <w:rFonts w:ascii="Arial" w:eastAsia="Arial" w:hAnsi="Arial" w:cs="Arial"/>
          <w:sz w:val="22"/>
          <w:szCs w:val="22"/>
        </w:rPr>
        <w:t>privadas del referido inmueble, contra la sociedad enajenadora</w:t>
      </w:r>
      <w:r w:rsidRPr="00FF4A0E">
        <w:rPr>
          <w:rFonts w:ascii="Arial" w:eastAsia="Arial" w:hAnsi="Arial" w:cs="Arial"/>
          <w:sz w:val="24"/>
          <w:szCs w:val="24"/>
        </w:rPr>
        <w:t xml:space="preserve"> </w:t>
      </w:r>
      <w:r w:rsidRPr="00FF4A0E">
        <w:rPr>
          <w:rFonts w:ascii="Arial" w:eastAsia="Arial" w:hAnsi="Arial" w:cs="Arial"/>
          <w:sz w:val="24"/>
          <w:szCs w:val="24"/>
          <w:highlight w:val="white"/>
        </w:rPr>
        <w:t>HHC PENINSULA 140 S</w:t>
      </w:r>
      <w:r w:rsidR="002450C3" w:rsidRPr="00FF4A0E">
        <w:rPr>
          <w:rFonts w:ascii="Arial" w:eastAsia="Arial" w:hAnsi="Arial" w:cs="Arial"/>
          <w:sz w:val="24"/>
          <w:szCs w:val="24"/>
          <w:highlight w:val="white"/>
        </w:rPr>
        <w:t>.</w:t>
      </w:r>
      <w:r w:rsidRPr="00FF4A0E">
        <w:rPr>
          <w:rFonts w:ascii="Arial" w:eastAsia="Arial" w:hAnsi="Arial" w:cs="Arial"/>
          <w:sz w:val="24"/>
          <w:szCs w:val="24"/>
          <w:highlight w:val="white"/>
        </w:rPr>
        <w:t>A</w:t>
      </w:r>
      <w:r w:rsidR="002450C3" w:rsidRPr="00FF4A0E">
        <w:rPr>
          <w:rFonts w:ascii="Arial" w:eastAsia="Arial" w:hAnsi="Arial" w:cs="Arial"/>
          <w:sz w:val="24"/>
          <w:szCs w:val="24"/>
          <w:highlight w:val="white"/>
        </w:rPr>
        <w:t>.</w:t>
      </w:r>
      <w:r w:rsidRPr="00FF4A0E">
        <w:rPr>
          <w:rFonts w:ascii="Arial" w:eastAsia="Arial" w:hAnsi="Arial" w:cs="Arial"/>
          <w:sz w:val="24"/>
          <w:szCs w:val="24"/>
          <w:highlight w:val="white"/>
        </w:rPr>
        <w:t>S</w:t>
      </w:r>
      <w:r w:rsidR="00CC745B" w:rsidRPr="00FF4A0E">
        <w:rPr>
          <w:rFonts w:ascii="Arial" w:eastAsia="Arial" w:hAnsi="Arial" w:cs="Arial"/>
          <w:sz w:val="24"/>
          <w:szCs w:val="24"/>
          <w:highlight w:val="white"/>
        </w:rPr>
        <w:t xml:space="preserve"> - </w:t>
      </w:r>
      <w:r w:rsidRPr="00FF4A0E">
        <w:rPr>
          <w:rFonts w:ascii="Arial" w:eastAsia="Arial" w:hAnsi="Arial" w:cs="Arial"/>
          <w:sz w:val="24"/>
          <w:szCs w:val="24"/>
          <w:highlight w:val="white"/>
        </w:rPr>
        <w:t>EN LIQUIDACION</w:t>
      </w:r>
      <w:r w:rsidRPr="00FF4A0E">
        <w:rPr>
          <w:rFonts w:ascii="Arial" w:eastAsia="Arial" w:hAnsi="Arial" w:cs="Arial"/>
          <w:sz w:val="24"/>
          <w:szCs w:val="24"/>
        </w:rPr>
        <w:t xml:space="preserve">, identificada con NIT. 900.551.644-1, representada legalmente por </w:t>
      </w:r>
      <w:r w:rsidR="00C13D87" w:rsidRPr="00FF4A0E">
        <w:rPr>
          <w:rFonts w:ascii="Arial" w:eastAsia="Arial" w:hAnsi="Arial" w:cs="Arial"/>
          <w:sz w:val="24"/>
          <w:szCs w:val="24"/>
        </w:rPr>
        <w:t>la señora</w:t>
      </w:r>
      <w:r w:rsidRPr="00FF4A0E">
        <w:rPr>
          <w:rFonts w:ascii="Arial" w:eastAsia="Arial" w:hAnsi="Arial" w:cs="Arial"/>
          <w:sz w:val="24"/>
          <w:szCs w:val="24"/>
        </w:rPr>
        <w:t xml:space="preserve"> </w:t>
      </w:r>
      <w:r w:rsidR="00641229" w:rsidRPr="00FF4A0E">
        <w:rPr>
          <w:rFonts w:ascii="Arial" w:eastAsia="Arial" w:hAnsi="Arial" w:cs="Arial"/>
          <w:sz w:val="22"/>
          <w:szCs w:val="22"/>
        </w:rPr>
        <w:t xml:space="preserve">LEIDY JOHANNA SANABRIA VARGAS </w:t>
      </w:r>
      <w:r w:rsidR="007C447C" w:rsidRPr="00FF4A0E">
        <w:rPr>
          <w:rFonts w:ascii="Arial" w:eastAsia="Arial" w:hAnsi="Arial" w:cs="Arial"/>
          <w:sz w:val="22"/>
          <w:szCs w:val="22"/>
        </w:rPr>
        <w:t xml:space="preserve">(o quien </w:t>
      </w:r>
      <w:r w:rsidRPr="00FF4A0E">
        <w:rPr>
          <w:rFonts w:ascii="Arial" w:eastAsia="Arial" w:hAnsi="Arial" w:cs="Arial"/>
          <w:sz w:val="22"/>
          <w:szCs w:val="22"/>
        </w:rPr>
        <w:t>haga sus veces), actuación a la que le correspondió el radicado 1-2018-12900</w:t>
      </w:r>
      <w:r w:rsidR="00D8644D">
        <w:rPr>
          <w:rFonts w:ascii="Arial" w:eastAsia="Arial" w:hAnsi="Arial" w:cs="Arial"/>
          <w:sz w:val="22"/>
          <w:szCs w:val="22"/>
        </w:rPr>
        <w:t>-1</w:t>
      </w:r>
      <w:r w:rsidRPr="00FF4A0E">
        <w:rPr>
          <w:rFonts w:ascii="Arial" w:eastAsia="Arial" w:hAnsi="Arial" w:cs="Arial"/>
          <w:sz w:val="22"/>
          <w:szCs w:val="22"/>
        </w:rPr>
        <w:t>.</w:t>
      </w:r>
    </w:p>
    <w:p w14:paraId="06EE68A9" w14:textId="77777777" w:rsidR="009F4149" w:rsidRPr="00BD604C" w:rsidRDefault="009F4149">
      <w:pPr>
        <w:widowControl w:val="0"/>
        <w:jc w:val="both"/>
        <w:rPr>
          <w:rFonts w:ascii="Arial" w:eastAsia="Arial" w:hAnsi="Arial" w:cs="Arial"/>
          <w:sz w:val="22"/>
          <w:szCs w:val="22"/>
        </w:rPr>
      </w:pPr>
    </w:p>
    <w:p w14:paraId="06EE68AA" w14:textId="038AF3C9" w:rsidR="009F4149" w:rsidRPr="00347276" w:rsidRDefault="00FE6B9D">
      <w:pPr>
        <w:jc w:val="both"/>
        <w:rPr>
          <w:rFonts w:ascii="Arial" w:eastAsia="Arial" w:hAnsi="Arial" w:cs="Arial"/>
          <w:sz w:val="22"/>
          <w:szCs w:val="22"/>
        </w:rPr>
      </w:pPr>
      <w:r w:rsidRPr="00BD604C">
        <w:rPr>
          <w:rFonts w:ascii="Arial" w:eastAsia="Arial" w:hAnsi="Arial" w:cs="Arial"/>
          <w:sz w:val="22"/>
          <w:szCs w:val="22"/>
        </w:rPr>
        <w:t xml:space="preserve">Que continuando con las </w:t>
      </w:r>
      <w:r w:rsidRPr="00347276">
        <w:rPr>
          <w:rFonts w:ascii="Arial" w:eastAsia="Arial" w:hAnsi="Arial" w:cs="Arial"/>
          <w:sz w:val="22"/>
          <w:szCs w:val="22"/>
        </w:rPr>
        <w:t>actuaciones administrativas mediante Resolución No. 309 del 03 de mayo de 2021, "</w:t>
      </w:r>
      <w:r w:rsidRPr="00347276">
        <w:rPr>
          <w:rFonts w:ascii="Arial" w:eastAsia="Arial" w:hAnsi="Arial" w:cs="Arial"/>
          <w:i/>
          <w:iCs/>
          <w:sz w:val="22"/>
          <w:szCs w:val="22"/>
        </w:rPr>
        <w:t>Por la cual se impone una sanción y se imparte una orden</w:t>
      </w:r>
      <w:r w:rsidRPr="00347276">
        <w:rPr>
          <w:rFonts w:ascii="Arial" w:eastAsia="Arial" w:hAnsi="Arial" w:cs="Arial"/>
          <w:sz w:val="22"/>
          <w:szCs w:val="22"/>
        </w:rPr>
        <w:t xml:space="preserve">", multó a la sociedad enajenadora </w:t>
      </w:r>
      <w:r w:rsidRPr="00347276">
        <w:rPr>
          <w:rFonts w:ascii="Arial" w:eastAsia="Arial" w:hAnsi="Arial" w:cs="Arial"/>
          <w:sz w:val="24"/>
          <w:szCs w:val="24"/>
          <w:highlight w:val="white"/>
        </w:rPr>
        <w:t>HHC PENÍNSULA 140 S</w:t>
      </w:r>
      <w:r w:rsidR="00F5605A" w:rsidRPr="00347276">
        <w:rPr>
          <w:rFonts w:ascii="Arial" w:eastAsia="Arial" w:hAnsi="Arial" w:cs="Arial"/>
          <w:sz w:val="24"/>
          <w:szCs w:val="24"/>
          <w:highlight w:val="white"/>
        </w:rPr>
        <w:t>.</w:t>
      </w:r>
      <w:r w:rsidRPr="00347276">
        <w:rPr>
          <w:rFonts w:ascii="Arial" w:eastAsia="Arial" w:hAnsi="Arial" w:cs="Arial"/>
          <w:sz w:val="24"/>
          <w:szCs w:val="24"/>
          <w:highlight w:val="white"/>
        </w:rPr>
        <w:t>A</w:t>
      </w:r>
      <w:r w:rsidR="00F5605A" w:rsidRPr="00347276">
        <w:rPr>
          <w:rFonts w:ascii="Arial" w:eastAsia="Arial" w:hAnsi="Arial" w:cs="Arial"/>
          <w:sz w:val="24"/>
          <w:szCs w:val="24"/>
          <w:highlight w:val="white"/>
        </w:rPr>
        <w:t>.</w:t>
      </w:r>
      <w:r w:rsidRPr="00347276">
        <w:rPr>
          <w:rFonts w:ascii="Arial" w:eastAsia="Arial" w:hAnsi="Arial" w:cs="Arial"/>
          <w:sz w:val="24"/>
          <w:szCs w:val="24"/>
          <w:highlight w:val="white"/>
        </w:rPr>
        <w:t xml:space="preserve">S </w:t>
      </w:r>
      <w:r w:rsidR="00F5605A" w:rsidRPr="00347276">
        <w:rPr>
          <w:rFonts w:ascii="Arial" w:eastAsia="Arial" w:hAnsi="Arial" w:cs="Arial"/>
          <w:sz w:val="24"/>
          <w:szCs w:val="24"/>
          <w:highlight w:val="white"/>
        </w:rPr>
        <w:t xml:space="preserve">- </w:t>
      </w:r>
      <w:r w:rsidRPr="00347276">
        <w:rPr>
          <w:rFonts w:ascii="Arial" w:eastAsia="Arial" w:hAnsi="Arial" w:cs="Arial"/>
          <w:sz w:val="24"/>
          <w:szCs w:val="24"/>
          <w:highlight w:val="white"/>
        </w:rPr>
        <w:t>EN LIQUIDACIÓN</w:t>
      </w:r>
      <w:r w:rsidRPr="00347276">
        <w:rPr>
          <w:rFonts w:ascii="Arial" w:eastAsia="Arial" w:hAnsi="Arial" w:cs="Arial"/>
          <w:sz w:val="24"/>
          <w:szCs w:val="24"/>
        </w:rPr>
        <w:t>, identificada con NIT. 900.551.644-1,</w:t>
      </w:r>
      <w:r w:rsidRPr="00347276">
        <w:rPr>
          <w:rFonts w:ascii="Arial" w:eastAsia="Arial" w:hAnsi="Arial" w:cs="Arial"/>
          <w:sz w:val="22"/>
          <w:szCs w:val="22"/>
        </w:rPr>
        <w:t xml:space="preserve"> con la suma de CINCUENTA Y CINCO MIL PESOS ($55.000) M/CTE</w:t>
      </w:r>
      <w:r w:rsidR="00D8644D">
        <w:rPr>
          <w:rFonts w:ascii="Arial" w:eastAsia="Arial" w:hAnsi="Arial" w:cs="Arial"/>
          <w:sz w:val="22"/>
          <w:szCs w:val="22"/>
        </w:rPr>
        <w:t>.</w:t>
      </w:r>
      <w:r w:rsidRPr="00347276">
        <w:rPr>
          <w:rFonts w:ascii="Arial" w:eastAsia="Arial" w:hAnsi="Arial" w:cs="Arial"/>
          <w:sz w:val="22"/>
          <w:szCs w:val="22"/>
        </w:rPr>
        <w:t>, indexados a la fecha corresponden a OCHO MILLONES CUATROCIENTOS NOVENTA Y CINCO MIL QUINIENTOS SIETE PESOS ($8.495.507) М/СТЕ</w:t>
      </w:r>
      <w:r w:rsidR="00D8644D">
        <w:rPr>
          <w:rFonts w:ascii="Arial" w:eastAsia="Arial" w:hAnsi="Arial" w:cs="Arial"/>
          <w:sz w:val="22"/>
          <w:szCs w:val="22"/>
        </w:rPr>
        <w:t>.</w:t>
      </w:r>
    </w:p>
    <w:p w14:paraId="06EE68AB" w14:textId="77777777" w:rsidR="009F4149" w:rsidRPr="00BD604C" w:rsidRDefault="009F4149">
      <w:pPr>
        <w:jc w:val="both"/>
        <w:rPr>
          <w:rFonts w:ascii="Arial" w:eastAsia="Arial" w:hAnsi="Arial" w:cs="Arial"/>
          <w:color w:val="000000" w:themeColor="text1"/>
          <w:sz w:val="22"/>
          <w:szCs w:val="22"/>
        </w:rPr>
      </w:pPr>
    </w:p>
    <w:p w14:paraId="06EE68AC" w14:textId="77777777" w:rsidR="009F4149" w:rsidRPr="00BD604C" w:rsidRDefault="00FE6B9D">
      <w:pPr>
        <w:ind w:right="49"/>
        <w:jc w:val="both"/>
        <w:rPr>
          <w:rFonts w:ascii="Arial" w:eastAsia="Arial" w:hAnsi="Arial" w:cs="Arial"/>
          <w:color w:val="000000" w:themeColor="text1"/>
          <w:sz w:val="22"/>
          <w:szCs w:val="22"/>
        </w:rPr>
      </w:pPr>
      <w:r w:rsidRPr="00BD604C">
        <w:rPr>
          <w:rFonts w:ascii="Arial" w:eastAsia="Arial" w:hAnsi="Arial" w:cs="Arial"/>
          <w:color w:val="000000" w:themeColor="text1"/>
          <w:sz w:val="22"/>
          <w:szCs w:val="22"/>
        </w:rPr>
        <w:t>Que, en los artículos segundo, tercero y cuarto de la No. 309 del 03 de mayo de 2021, “</w:t>
      </w:r>
      <w:r w:rsidRPr="00BD604C">
        <w:rPr>
          <w:rFonts w:ascii="Arial" w:eastAsia="Arial" w:hAnsi="Arial" w:cs="Arial"/>
          <w:i/>
          <w:iCs/>
          <w:color w:val="000000" w:themeColor="text1"/>
          <w:sz w:val="22"/>
          <w:szCs w:val="22"/>
        </w:rPr>
        <w:t>Por la cual se impone una sanción y se imparte una orden</w:t>
      </w:r>
      <w:r w:rsidRPr="00BD604C">
        <w:rPr>
          <w:rFonts w:ascii="Arial" w:eastAsia="Arial" w:hAnsi="Arial" w:cs="Arial"/>
          <w:color w:val="000000" w:themeColor="text1"/>
          <w:sz w:val="22"/>
          <w:szCs w:val="22"/>
        </w:rPr>
        <w:t xml:space="preserve">”, se estableció: </w:t>
      </w:r>
    </w:p>
    <w:p w14:paraId="06EE68AD" w14:textId="77777777" w:rsidR="009F4149" w:rsidRPr="001A2CB5" w:rsidRDefault="009F4149">
      <w:pPr>
        <w:ind w:right="-92"/>
        <w:jc w:val="both"/>
        <w:rPr>
          <w:rFonts w:ascii="Arial" w:eastAsia="Arial" w:hAnsi="Arial" w:cs="Arial"/>
          <w:color w:val="000000" w:themeColor="text1"/>
          <w:sz w:val="22"/>
          <w:szCs w:val="22"/>
        </w:rPr>
      </w:pPr>
    </w:p>
    <w:p w14:paraId="06EE68AE" w14:textId="4EB579C8" w:rsidR="009F4149" w:rsidRPr="001A2CB5" w:rsidRDefault="00FE6B9D" w:rsidP="00D8644D">
      <w:pPr>
        <w:ind w:left="680" w:right="-93"/>
        <w:jc w:val="both"/>
        <w:rPr>
          <w:rFonts w:ascii="Arial" w:eastAsia="Arial" w:hAnsi="Arial" w:cs="Arial"/>
          <w:i/>
          <w:iCs/>
          <w:color w:val="000000" w:themeColor="text1"/>
          <w:sz w:val="22"/>
          <w:szCs w:val="22"/>
        </w:rPr>
      </w:pPr>
      <w:r w:rsidRPr="001A2CB5">
        <w:rPr>
          <w:rFonts w:ascii="Arial" w:eastAsia="Arial" w:hAnsi="Arial" w:cs="Arial"/>
          <w:b/>
          <w:bCs/>
          <w:i/>
          <w:iCs/>
          <w:color w:val="000000" w:themeColor="text1"/>
          <w:sz w:val="22"/>
          <w:szCs w:val="22"/>
        </w:rPr>
        <w:t xml:space="preserve">ARTÍCULO SEGUNDO: </w:t>
      </w:r>
      <w:r w:rsidRPr="001A2CB5">
        <w:rPr>
          <w:rFonts w:ascii="Arial" w:eastAsia="Arial" w:hAnsi="Arial" w:cs="Arial"/>
          <w:i/>
          <w:iCs/>
          <w:color w:val="000000" w:themeColor="text1"/>
          <w:sz w:val="22"/>
          <w:szCs w:val="22"/>
        </w:rPr>
        <w:t xml:space="preserve">Requerir a la sociedad enajenadora HHC PENINSULA 140 S.A.S E N LIQUIDACIÓN, Nit: 900.551.644-1 liquidadora ANGELA MARCELA BERMUDEZ CASTAÑEDA ( o quien haga sus veces), para que dentro del término de </w:t>
      </w:r>
      <w:r w:rsidRPr="001A2CB5">
        <w:rPr>
          <w:rFonts w:ascii="Arial" w:eastAsia="Arial" w:hAnsi="Arial" w:cs="Arial"/>
          <w:b/>
          <w:bCs/>
          <w:i/>
          <w:iCs/>
          <w:color w:val="000000" w:themeColor="text1"/>
          <w:sz w:val="22"/>
          <w:szCs w:val="22"/>
        </w:rPr>
        <w:t>SEIS (6) MESES</w:t>
      </w:r>
      <w:r w:rsidRPr="001A2CB5">
        <w:rPr>
          <w:rFonts w:ascii="Arial" w:eastAsia="Arial" w:hAnsi="Arial" w:cs="Arial"/>
          <w:i/>
          <w:iCs/>
          <w:color w:val="000000" w:themeColor="text1"/>
          <w:sz w:val="22"/>
          <w:szCs w:val="22"/>
        </w:rPr>
        <w:t xml:space="preserve"> (calendario) siguientes a la ejecutoria del presente acto administrativo se acoja a la normatividad infringida, para lo cual deberá realizar los trabajos tendientes a solucionar en forma definitiva los hechos que afectan las áreas privadas del apartamento 916 torre 1 del proyecto EDIFICIO MULTIFAMILIAR ESPACIO 140- PROPIEDAD HORIZONTAL de esta ciudad, consistentes en "</w:t>
      </w:r>
      <w:r w:rsidRPr="001A2CB5">
        <w:rPr>
          <w:rFonts w:ascii="Arial" w:eastAsia="Arial" w:hAnsi="Arial" w:cs="Arial"/>
          <w:b/>
          <w:bCs/>
          <w:i/>
          <w:iCs/>
          <w:color w:val="000000" w:themeColor="text1"/>
          <w:sz w:val="22"/>
          <w:szCs w:val="22"/>
        </w:rPr>
        <w:t>1. FILTRACIONES, 2. GOTERAS y 3. HUMEDADES</w:t>
      </w:r>
      <w:r w:rsidRPr="001A2CB5">
        <w:rPr>
          <w:rFonts w:ascii="Arial" w:eastAsia="Arial" w:hAnsi="Arial" w:cs="Arial"/>
          <w:i/>
          <w:iCs/>
          <w:color w:val="000000" w:themeColor="text1"/>
          <w:sz w:val="22"/>
          <w:szCs w:val="22"/>
        </w:rPr>
        <w:t xml:space="preserve">", y a que constituyen deficiencias constructivas calificadas como afectaciones graves, conforme se evidencia en el Informe de Verificación de Hechos No. 20-139. Lo anterior, en el evento de que dichos </w:t>
      </w:r>
      <w:r w:rsidRPr="001A2CB5">
        <w:rPr>
          <w:rFonts w:ascii="Arial" w:eastAsia="Arial" w:hAnsi="Arial" w:cs="Arial"/>
          <w:i/>
          <w:iCs/>
          <w:color w:val="000000" w:themeColor="text1"/>
          <w:sz w:val="22"/>
          <w:szCs w:val="22"/>
        </w:rPr>
        <w:lastRenderedPageBreak/>
        <w:t>hechos no hayan sido subsanados de forma total y definitiva al momento de la expedición de la presente Resolución.</w:t>
      </w:r>
    </w:p>
    <w:p w14:paraId="06EE68AF" w14:textId="77777777" w:rsidR="009F4149" w:rsidRPr="001A2CB5" w:rsidRDefault="009F4149" w:rsidP="00D8644D">
      <w:pPr>
        <w:ind w:left="680" w:right="-93"/>
        <w:jc w:val="both"/>
        <w:rPr>
          <w:rFonts w:ascii="Arial" w:eastAsia="Arial" w:hAnsi="Arial" w:cs="Arial"/>
          <w:b/>
          <w:bCs/>
          <w:i/>
          <w:iCs/>
          <w:color w:val="000000" w:themeColor="text1"/>
          <w:sz w:val="22"/>
          <w:szCs w:val="22"/>
        </w:rPr>
      </w:pPr>
    </w:p>
    <w:p w14:paraId="06EE68B0" w14:textId="710652ED" w:rsidR="009F4149" w:rsidRPr="001A2CB5" w:rsidRDefault="00FE6B9D" w:rsidP="00D8644D">
      <w:pPr>
        <w:ind w:left="680" w:right="-93"/>
        <w:jc w:val="both"/>
        <w:rPr>
          <w:rFonts w:ascii="Arial" w:eastAsia="Arial" w:hAnsi="Arial" w:cs="Arial"/>
          <w:i/>
          <w:iCs/>
          <w:color w:val="000000" w:themeColor="text1"/>
          <w:sz w:val="22"/>
          <w:szCs w:val="22"/>
        </w:rPr>
      </w:pPr>
      <w:r w:rsidRPr="001A2CB5">
        <w:rPr>
          <w:rFonts w:ascii="Arial" w:eastAsia="Arial" w:hAnsi="Arial" w:cs="Arial"/>
          <w:b/>
          <w:bCs/>
          <w:i/>
          <w:iCs/>
          <w:color w:val="000000" w:themeColor="text1"/>
          <w:sz w:val="22"/>
          <w:szCs w:val="22"/>
        </w:rPr>
        <w:t xml:space="preserve">ARTÍCULO TERCERO: </w:t>
      </w:r>
      <w:r w:rsidRPr="001A2CB5">
        <w:rPr>
          <w:rFonts w:ascii="Arial" w:eastAsia="Arial" w:hAnsi="Arial" w:cs="Arial"/>
          <w:i/>
          <w:iCs/>
          <w:color w:val="000000" w:themeColor="text1"/>
          <w:sz w:val="22"/>
          <w:szCs w:val="22"/>
        </w:rPr>
        <w:t>Ordenar a la sociedad enajenadora HHC PENINSULA 140 S.A.S EN LIQUIDACIÓN, Nit: 900.551.644-1 liquidadora ANGELA MARCELA BERMUDEZ CASTAÑEDA (o quien haga sus veces), para que dentro de los diez (10) días (hábiles) siguientes al cumplimiento del término otorgado e n el artículo anterior, acredite ante este Despacho la realización de las labores de corrección sobre los citados hechos.</w:t>
      </w:r>
    </w:p>
    <w:p w14:paraId="06EE68B1" w14:textId="77777777" w:rsidR="009F4149" w:rsidRPr="001A2CB5" w:rsidRDefault="009F4149" w:rsidP="00D8644D">
      <w:pPr>
        <w:ind w:left="680" w:right="-93"/>
        <w:jc w:val="both"/>
        <w:rPr>
          <w:rFonts w:ascii="Arial" w:eastAsia="Arial" w:hAnsi="Arial" w:cs="Arial"/>
          <w:b/>
          <w:bCs/>
          <w:i/>
          <w:iCs/>
          <w:color w:val="000000" w:themeColor="text1"/>
          <w:sz w:val="22"/>
          <w:szCs w:val="22"/>
        </w:rPr>
      </w:pPr>
    </w:p>
    <w:p w14:paraId="06EE68B2" w14:textId="7B2E0926" w:rsidR="009F4149" w:rsidRPr="001A2CB5" w:rsidRDefault="00FE6B9D" w:rsidP="00D8644D">
      <w:pPr>
        <w:ind w:left="680" w:right="-93"/>
        <w:jc w:val="both"/>
        <w:rPr>
          <w:rFonts w:ascii="Arial" w:eastAsia="Arial" w:hAnsi="Arial" w:cs="Arial"/>
          <w:i/>
          <w:iCs/>
          <w:color w:val="000000" w:themeColor="text1"/>
        </w:rPr>
      </w:pPr>
      <w:r w:rsidRPr="001A2CB5">
        <w:rPr>
          <w:rFonts w:ascii="Arial" w:eastAsia="Arial" w:hAnsi="Arial" w:cs="Arial"/>
          <w:b/>
          <w:bCs/>
          <w:i/>
          <w:iCs/>
          <w:color w:val="000000" w:themeColor="text1"/>
          <w:sz w:val="22"/>
          <w:szCs w:val="22"/>
        </w:rPr>
        <w:t xml:space="preserve">ARTÍCULO CUARTO: </w:t>
      </w:r>
      <w:r w:rsidRPr="001A2CB5">
        <w:rPr>
          <w:rFonts w:ascii="Arial" w:eastAsia="Arial" w:hAnsi="Arial" w:cs="Arial"/>
          <w:i/>
          <w:iCs/>
          <w:color w:val="000000" w:themeColor="text1"/>
          <w:sz w:val="22"/>
          <w:szCs w:val="22"/>
        </w:rPr>
        <w:t>El incumplimiento al requerimiento formulado en el artículo segundo, salvo que el quejoso o interesados impidan la realización de las obras ordenadas, situación que deberá poner en conocimiento inmediato a la Subdirección de Investigaciones y Control de Vivienda, dará lugar a la imposición de sanción, consistente e n multa de entre $10.000 a $500.000 pesos, que serán indexados en el tiempo en que se verifique e l incumplimiento, por cada</w:t>
      </w:r>
      <w:r w:rsidR="0004740A">
        <w:rPr>
          <w:rFonts w:ascii="Arial" w:eastAsia="Arial" w:hAnsi="Arial" w:cs="Arial"/>
          <w:i/>
          <w:iCs/>
          <w:color w:val="000000" w:themeColor="text1"/>
          <w:sz w:val="22"/>
          <w:szCs w:val="22"/>
        </w:rPr>
        <w:t>a</w:t>
      </w:r>
      <w:r w:rsidRPr="001A2CB5">
        <w:rPr>
          <w:rFonts w:ascii="Arial" w:eastAsia="Arial" w:hAnsi="Arial" w:cs="Arial"/>
          <w:i/>
          <w:iCs/>
          <w:color w:val="000000" w:themeColor="text1"/>
          <w:sz w:val="22"/>
          <w:szCs w:val="22"/>
        </w:rPr>
        <w:t xml:space="preserve"> seis (6) meses (calendario) de retardo al vencimiento de la fecha establecida para el efecto, de conformidad con </w:t>
      </w:r>
      <w:r w:rsidR="001A2CB5" w:rsidRPr="001A2CB5">
        <w:rPr>
          <w:rFonts w:ascii="Arial" w:eastAsia="Arial" w:hAnsi="Arial" w:cs="Arial"/>
          <w:i/>
          <w:iCs/>
          <w:color w:val="000000" w:themeColor="text1"/>
          <w:sz w:val="22"/>
          <w:szCs w:val="22"/>
        </w:rPr>
        <w:t>lo</w:t>
      </w:r>
      <w:r w:rsidRPr="001A2CB5">
        <w:rPr>
          <w:rFonts w:ascii="Arial" w:eastAsia="Arial" w:hAnsi="Arial" w:cs="Arial"/>
          <w:i/>
          <w:iCs/>
          <w:color w:val="000000" w:themeColor="text1"/>
          <w:sz w:val="22"/>
          <w:szCs w:val="22"/>
        </w:rPr>
        <w:t xml:space="preserve"> dispuesto en el inciso segundo numeral 9 del artículo 2° del Decreto Ley 078 de 1987.</w:t>
      </w:r>
    </w:p>
    <w:p w14:paraId="06EE68B5" w14:textId="77777777" w:rsidR="009F4149" w:rsidRPr="00D27441" w:rsidRDefault="009F4149">
      <w:pPr>
        <w:ind w:right="-92"/>
        <w:jc w:val="both"/>
        <w:rPr>
          <w:rFonts w:ascii="Arial" w:eastAsia="Arial" w:hAnsi="Arial" w:cs="Arial"/>
          <w:sz w:val="22"/>
          <w:szCs w:val="22"/>
        </w:rPr>
      </w:pPr>
    </w:p>
    <w:p w14:paraId="06EE68B6" w14:textId="44C827D7" w:rsidR="009F4149" w:rsidRPr="0042424E" w:rsidRDefault="003439C4">
      <w:pPr>
        <w:ind w:right="-92"/>
        <w:jc w:val="both"/>
        <w:rPr>
          <w:rFonts w:ascii="Arial" w:eastAsia="Arial" w:hAnsi="Arial" w:cs="Arial"/>
          <w:color w:val="000000" w:themeColor="text1"/>
          <w:sz w:val="22"/>
          <w:szCs w:val="22"/>
        </w:rPr>
      </w:pPr>
      <w:r w:rsidRPr="0042424E">
        <w:rPr>
          <w:rFonts w:ascii="Arial" w:eastAsia="Arial" w:hAnsi="Arial" w:cs="Arial"/>
          <w:color w:val="000000" w:themeColor="text1"/>
          <w:sz w:val="22"/>
          <w:szCs w:val="22"/>
        </w:rPr>
        <w:t>Que mediante oficio con radicado No. 1-2</w:t>
      </w:r>
      <w:r w:rsidR="00F363A7" w:rsidRPr="0042424E">
        <w:rPr>
          <w:rFonts w:ascii="Arial" w:eastAsia="Arial" w:hAnsi="Arial" w:cs="Arial"/>
          <w:color w:val="000000" w:themeColor="text1"/>
          <w:sz w:val="22"/>
          <w:szCs w:val="22"/>
        </w:rPr>
        <w:t>022-9050</w:t>
      </w:r>
      <w:r w:rsidRPr="0042424E">
        <w:rPr>
          <w:rFonts w:ascii="Arial" w:eastAsia="Arial" w:hAnsi="Arial" w:cs="Arial"/>
          <w:color w:val="000000" w:themeColor="text1"/>
          <w:sz w:val="22"/>
          <w:szCs w:val="22"/>
        </w:rPr>
        <w:t xml:space="preserve"> </w:t>
      </w:r>
      <w:r w:rsidR="00127BE4" w:rsidRPr="0042424E">
        <w:rPr>
          <w:rFonts w:ascii="Arial" w:eastAsia="Arial" w:hAnsi="Arial" w:cs="Arial"/>
          <w:color w:val="000000" w:themeColor="text1"/>
          <w:sz w:val="22"/>
          <w:szCs w:val="22"/>
        </w:rPr>
        <w:t xml:space="preserve">de fecha </w:t>
      </w:r>
      <w:r w:rsidR="009C5C31" w:rsidRPr="0042424E">
        <w:rPr>
          <w:rFonts w:ascii="Arial" w:eastAsia="Arial" w:hAnsi="Arial" w:cs="Arial"/>
          <w:color w:val="000000" w:themeColor="text1"/>
          <w:sz w:val="22"/>
          <w:szCs w:val="22"/>
        </w:rPr>
        <w:t>del 09 de marzo de 2022</w:t>
      </w:r>
      <w:r w:rsidR="003E2019" w:rsidRPr="0042424E">
        <w:rPr>
          <w:rFonts w:ascii="Arial" w:eastAsia="Arial" w:hAnsi="Arial" w:cs="Arial"/>
          <w:color w:val="000000" w:themeColor="text1"/>
          <w:sz w:val="22"/>
          <w:szCs w:val="22"/>
        </w:rPr>
        <w:t xml:space="preserve"> </w:t>
      </w:r>
      <w:r w:rsidR="00A66B49" w:rsidRPr="0042424E">
        <w:rPr>
          <w:rFonts w:ascii="Arial" w:eastAsia="Arial" w:hAnsi="Arial" w:cs="Arial"/>
          <w:color w:val="000000" w:themeColor="text1"/>
          <w:sz w:val="22"/>
          <w:szCs w:val="22"/>
          <w:lang w:val="es-419"/>
        </w:rPr>
        <w:t xml:space="preserve">el señor CAMILO ANDRÉS GONZÁLEZ </w:t>
      </w:r>
      <w:r w:rsidR="00FE6B9D" w:rsidRPr="0042424E">
        <w:rPr>
          <w:rFonts w:ascii="Arial" w:eastAsia="Arial" w:hAnsi="Arial" w:cs="Arial"/>
          <w:color w:val="000000" w:themeColor="text1"/>
          <w:sz w:val="22"/>
          <w:szCs w:val="22"/>
          <w:lang w:val="es-419"/>
        </w:rPr>
        <w:t xml:space="preserve">CUESTA en calidad de apoderado </w:t>
      </w:r>
      <w:r w:rsidR="003E2019" w:rsidRPr="0042424E">
        <w:rPr>
          <w:rFonts w:ascii="Arial" w:eastAsia="Arial" w:hAnsi="Arial" w:cs="Arial"/>
          <w:color w:val="000000" w:themeColor="text1"/>
          <w:sz w:val="22"/>
          <w:szCs w:val="22"/>
        </w:rPr>
        <w:t xml:space="preserve">de </w:t>
      </w:r>
      <w:r w:rsidRPr="0042424E">
        <w:rPr>
          <w:rFonts w:ascii="Arial" w:eastAsia="Arial" w:hAnsi="Arial" w:cs="Arial"/>
          <w:color w:val="000000" w:themeColor="text1"/>
          <w:sz w:val="22"/>
          <w:szCs w:val="22"/>
        </w:rPr>
        <w:t xml:space="preserve">la sociedad enajenadora </w:t>
      </w:r>
      <w:r w:rsidRPr="0042424E">
        <w:rPr>
          <w:rFonts w:ascii="Arial" w:eastAsia="Arial" w:hAnsi="Arial" w:cs="Arial"/>
          <w:color w:val="000000" w:themeColor="text1"/>
          <w:sz w:val="24"/>
          <w:szCs w:val="24"/>
          <w:highlight w:val="white"/>
        </w:rPr>
        <w:t>HHC PENÍNSULA 140 S</w:t>
      </w:r>
      <w:r w:rsidR="00EC0FA7" w:rsidRPr="0042424E">
        <w:rPr>
          <w:rFonts w:ascii="Arial" w:eastAsia="Arial" w:hAnsi="Arial" w:cs="Arial"/>
          <w:color w:val="000000" w:themeColor="text1"/>
          <w:sz w:val="24"/>
          <w:szCs w:val="24"/>
          <w:highlight w:val="white"/>
        </w:rPr>
        <w:t>.A.S -</w:t>
      </w:r>
      <w:r w:rsidRPr="0042424E">
        <w:rPr>
          <w:rFonts w:ascii="Arial" w:eastAsia="Arial" w:hAnsi="Arial" w:cs="Arial"/>
          <w:color w:val="000000" w:themeColor="text1"/>
          <w:sz w:val="24"/>
          <w:szCs w:val="24"/>
          <w:highlight w:val="white"/>
        </w:rPr>
        <w:t xml:space="preserve"> EN LIQUIDACIÓN</w:t>
      </w:r>
      <w:r w:rsidR="001C23A5" w:rsidRPr="0042424E">
        <w:rPr>
          <w:rFonts w:ascii="Arial" w:eastAsia="Arial" w:hAnsi="Arial" w:cs="Arial"/>
          <w:color w:val="000000" w:themeColor="text1"/>
          <w:sz w:val="22"/>
          <w:szCs w:val="22"/>
        </w:rPr>
        <w:t xml:space="preserve">, </w:t>
      </w:r>
      <w:r w:rsidRPr="0042424E">
        <w:rPr>
          <w:rFonts w:ascii="Arial" w:eastAsia="Arial" w:hAnsi="Arial" w:cs="Arial"/>
          <w:color w:val="000000" w:themeColor="text1"/>
          <w:sz w:val="22"/>
          <w:szCs w:val="22"/>
        </w:rPr>
        <w:t>interpuso recurso de reposición y en subsidio apelación en contra de la Resolución No. 309 del 03 de mayo de 2021 “</w:t>
      </w:r>
      <w:r w:rsidRPr="0042424E">
        <w:rPr>
          <w:rFonts w:ascii="Arial" w:eastAsia="Arial" w:hAnsi="Arial" w:cs="Arial"/>
          <w:i/>
          <w:iCs/>
          <w:color w:val="000000" w:themeColor="text1"/>
          <w:sz w:val="22"/>
          <w:szCs w:val="22"/>
        </w:rPr>
        <w:t>Por la cual se impone una sanción y se imparte una orden</w:t>
      </w:r>
      <w:r w:rsidRPr="0042424E">
        <w:rPr>
          <w:rFonts w:ascii="Arial" w:eastAsia="Arial" w:hAnsi="Arial" w:cs="Arial"/>
          <w:color w:val="000000" w:themeColor="text1"/>
          <w:sz w:val="22"/>
          <w:szCs w:val="22"/>
        </w:rPr>
        <w:t xml:space="preserve">”. </w:t>
      </w:r>
    </w:p>
    <w:p w14:paraId="06EE68B7" w14:textId="77777777" w:rsidR="009F4149" w:rsidRPr="0042424E" w:rsidRDefault="009F4149">
      <w:pPr>
        <w:ind w:right="-92"/>
        <w:jc w:val="both"/>
        <w:rPr>
          <w:rFonts w:ascii="Arial" w:eastAsia="Arial" w:hAnsi="Arial" w:cs="Arial"/>
          <w:color w:val="000000" w:themeColor="text1"/>
          <w:sz w:val="22"/>
          <w:szCs w:val="22"/>
        </w:rPr>
      </w:pPr>
    </w:p>
    <w:p w14:paraId="06EE68B8" w14:textId="632EEF17" w:rsidR="009F4149" w:rsidRPr="0087200C" w:rsidRDefault="00FE6B9D">
      <w:pPr>
        <w:ind w:right="-92"/>
        <w:jc w:val="both"/>
        <w:rPr>
          <w:rFonts w:ascii="Arial" w:eastAsia="Arial" w:hAnsi="Arial" w:cs="Arial"/>
          <w:color w:val="000000" w:themeColor="text1"/>
          <w:sz w:val="22"/>
          <w:szCs w:val="22"/>
        </w:rPr>
      </w:pPr>
      <w:r w:rsidRPr="00F45A2C">
        <w:rPr>
          <w:rFonts w:ascii="Arial" w:eastAsia="Arial" w:hAnsi="Arial" w:cs="Arial"/>
          <w:color w:val="000000" w:themeColor="text1"/>
          <w:sz w:val="22"/>
          <w:szCs w:val="22"/>
        </w:rPr>
        <w:t xml:space="preserve">Que </w:t>
      </w:r>
      <w:r w:rsidR="006063F6" w:rsidRPr="00F45A2C">
        <w:rPr>
          <w:rFonts w:ascii="Arial" w:eastAsia="Arial" w:hAnsi="Arial" w:cs="Arial"/>
          <w:color w:val="000000" w:themeColor="text1"/>
          <w:sz w:val="22"/>
          <w:szCs w:val="22"/>
        </w:rPr>
        <w:t>mediante</w:t>
      </w:r>
      <w:r w:rsidRPr="00F45A2C">
        <w:rPr>
          <w:rFonts w:ascii="Arial" w:eastAsia="Arial" w:hAnsi="Arial" w:cs="Arial"/>
          <w:color w:val="000000" w:themeColor="text1"/>
          <w:sz w:val="22"/>
          <w:szCs w:val="22"/>
        </w:rPr>
        <w:t xml:space="preserve"> Resolución No. 420 del 04 de mayo de 2022 resolvió el recurso de reposición interpuesto, mediante la cual decidió no reponer la Resolución recurrida y la Resolución No. 2717 del 12 de octubre de 2022 resolvió el recurso de apelación, confirmando en todas sus partes la Resolución No. 309 del 03 de mayo de 2021. La cual quedó debidamente ejecutoriada el </w:t>
      </w:r>
      <w:r w:rsidRPr="0087200C">
        <w:rPr>
          <w:rFonts w:ascii="Arial" w:eastAsia="Arial" w:hAnsi="Arial" w:cs="Arial"/>
          <w:color w:val="000000" w:themeColor="text1"/>
          <w:sz w:val="22"/>
          <w:szCs w:val="22"/>
        </w:rPr>
        <w:t>día dieciocho (18) de noviembre de 2022.</w:t>
      </w:r>
    </w:p>
    <w:p w14:paraId="06EE68B9" w14:textId="77777777" w:rsidR="009F4149" w:rsidRDefault="009F4149">
      <w:pPr>
        <w:ind w:right="-92"/>
        <w:jc w:val="both"/>
        <w:rPr>
          <w:rFonts w:ascii="Arial" w:eastAsia="Arial" w:hAnsi="Arial" w:cs="Arial"/>
          <w:sz w:val="22"/>
          <w:szCs w:val="22"/>
        </w:rPr>
      </w:pPr>
    </w:p>
    <w:p w14:paraId="06EE68BA" w14:textId="6CEA97E0" w:rsidR="009F4149" w:rsidRDefault="00260000">
      <w:pPr>
        <w:ind w:right="-92"/>
        <w:jc w:val="both"/>
        <w:rPr>
          <w:rFonts w:ascii="Arial" w:eastAsia="Arial" w:hAnsi="Arial" w:cs="Arial"/>
          <w:color w:val="000000" w:themeColor="text1"/>
          <w:sz w:val="22"/>
          <w:szCs w:val="22"/>
        </w:rPr>
      </w:pPr>
      <w:r w:rsidRPr="00260000">
        <w:rPr>
          <w:rFonts w:ascii="Arial" w:eastAsia="Arial" w:hAnsi="Arial" w:cs="Arial"/>
          <w:sz w:val="22"/>
          <w:szCs w:val="22"/>
        </w:rPr>
        <w:t xml:space="preserve">Que, en ejercicio de las funciones de seguimiento al cumplimiento de la orden de hacer impuesta en </w:t>
      </w:r>
      <w:r w:rsidRPr="00082FBB">
        <w:rPr>
          <w:rFonts w:ascii="Arial" w:eastAsia="Arial" w:hAnsi="Arial" w:cs="Arial"/>
          <w:color w:val="000000" w:themeColor="text1"/>
          <w:sz w:val="22"/>
          <w:szCs w:val="22"/>
        </w:rPr>
        <w:t>el acto administrativo en firme, esta</w:t>
      </w:r>
      <w:r w:rsidR="00D72055" w:rsidRPr="00082FBB">
        <w:rPr>
          <w:rFonts w:ascii="Arial" w:eastAsia="Arial" w:hAnsi="Arial" w:cs="Arial"/>
          <w:color w:val="000000" w:themeColor="text1"/>
          <w:sz w:val="22"/>
          <w:szCs w:val="22"/>
        </w:rPr>
        <w:t xml:space="preserve"> D</w:t>
      </w:r>
      <w:r w:rsidRPr="00082FBB">
        <w:rPr>
          <w:rFonts w:ascii="Arial" w:eastAsia="Arial" w:hAnsi="Arial" w:cs="Arial"/>
          <w:color w:val="000000" w:themeColor="text1"/>
          <w:sz w:val="22"/>
          <w:szCs w:val="22"/>
        </w:rPr>
        <w:t>irección, mediante oficio radicado</w:t>
      </w:r>
      <w:r w:rsidR="00D72055" w:rsidRPr="00082FBB">
        <w:rPr>
          <w:rFonts w:ascii="Arial" w:eastAsia="Arial" w:hAnsi="Arial" w:cs="Arial"/>
          <w:color w:val="000000" w:themeColor="text1"/>
          <w:sz w:val="22"/>
          <w:szCs w:val="22"/>
        </w:rPr>
        <w:t xml:space="preserve"> No. </w:t>
      </w:r>
      <w:r w:rsidR="0022720E" w:rsidRPr="00082FBB">
        <w:rPr>
          <w:rFonts w:ascii="Arial" w:eastAsia="Arial" w:hAnsi="Arial" w:cs="Arial"/>
          <w:color w:val="000000" w:themeColor="text1"/>
          <w:sz w:val="22"/>
          <w:szCs w:val="22"/>
        </w:rPr>
        <w:t xml:space="preserve">2-2023-77234 </w:t>
      </w:r>
      <w:r w:rsidRPr="00082FBB">
        <w:rPr>
          <w:rFonts w:ascii="Arial" w:eastAsia="Arial" w:hAnsi="Arial" w:cs="Arial"/>
          <w:color w:val="000000" w:themeColor="text1"/>
          <w:sz w:val="22"/>
          <w:szCs w:val="22"/>
        </w:rPr>
        <w:t xml:space="preserve">y </w:t>
      </w:r>
      <w:r w:rsidR="0022720E" w:rsidRPr="00082FBB">
        <w:rPr>
          <w:rFonts w:ascii="Arial" w:eastAsia="Arial" w:hAnsi="Arial" w:cs="Arial"/>
          <w:color w:val="000000" w:themeColor="text1"/>
          <w:sz w:val="22"/>
          <w:szCs w:val="22"/>
        </w:rPr>
        <w:t xml:space="preserve">2-2023-77235 </w:t>
      </w:r>
      <w:r w:rsidRPr="00082FBB">
        <w:rPr>
          <w:rFonts w:ascii="Arial" w:eastAsia="Arial" w:hAnsi="Arial" w:cs="Arial"/>
          <w:color w:val="000000" w:themeColor="text1"/>
          <w:sz w:val="22"/>
          <w:szCs w:val="22"/>
        </w:rPr>
        <w:t xml:space="preserve">del 08 de noviembre de 2023, </w:t>
      </w:r>
      <w:r w:rsidR="00D72055" w:rsidRPr="00082FBB">
        <w:rPr>
          <w:rFonts w:ascii="Arial" w:eastAsia="Arial" w:hAnsi="Arial" w:cs="Arial"/>
          <w:color w:val="000000" w:themeColor="text1"/>
          <w:sz w:val="22"/>
          <w:szCs w:val="22"/>
        </w:rPr>
        <w:t>se requirió</w:t>
      </w:r>
      <w:r w:rsidRPr="00082FBB">
        <w:rPr>
          <w:rFonts w:ascii="Arial" w:eastAsia="Arial" w:hAnsi="Arial" w:cs="Arial"/>
          <w:color w:val="000000" w:themeColor="text1"/>
          <w:sz w:val="22"/>
          <w:szCs w:val="22"/>
        </w:rPr>
        <w:t xml:space="preserve"> tanto a la parte quejosa como a la sociedad enajenadora</w:t>
      </w:r>
      <w:r w:rsidR="00D72055" w:rsidRPr="00082FBB">
        <w:rPr>
          <w:rFonts w:ascii="Arial" w:eastAsia="Arial" w:hAnsi="Arial" w:cs="Arial"/>
          <w:color w:val="000000" w:themeColor="text1"/>
          <w:sz w:val="22"/>
          <w:szCs w:val="22"/>
        </w:rPr>
        <w:t>,</w:t>
      </w:r>
      <w:r w:rsidRPr="00082FBB">
        <w:rPr>
          <w:rFonts w:ascii="Arial" w:eastAsia="Arial" w:hAnsi="Arial" w:cs="Arial"/>
          <w:color w:val="000000" w:themeColor="text1"/>
          <w:sz w:val="22"/>
          <w:szCs w:val="22"/>
        </w:rPr>
        <w:t xml:space="preserve"> </w:t>
      </w:r>
      <w:r w:rsidR="00082FBB" w:rsidRPr="00082FBB">
        <w:rPr>
          <w:rFonts w:ascii="Arial" w:eastAsia="Arial" w:hAnsi="Arial" w:cs="Arial"/>
          <w:color w:val="000000" w:themeColor="text1"/>
          <w:sz w:val="22"/>
          <w:szCs w:val="22"/>
        </w:rPr>
        <w:t>para que acreditara la orden de hacer establecida en la Resolución</w:t>
      </w:r>
      <w:r w:rsidRPr="00082FBB">
        <w:rPr>
          <w:rFonts w:ascii="Arial" w:eastAsia="Arial" w:hAnsi="Arial" w:cs="Arial"/>
          <w:color w:val="000000" w:themeColor="text1"/>
          <w:sz w:val="22"/>
          <w:szCs w:val="22"/>
        </w:rPr>
        <w:t xml:space="preserve"> No. 309 del 03 de mayo de 2021</w:t>
      </w:r>
      <w:r w:rsidR="0087200C">
        <w:rPr>
          <w:rFonts w:ascii="Arial" w:eastAsia="Arial" w:hAnsi="Arial" w:cs="Arial"/>
          <w:color w:val="000000" w:themeColor="text1"/>
          <w:sz w:val="22"/>
          <w:szCs w:val="22"/>
        </w:rPr>
        <w:t xml:space="preserve"> “</w:t>
      </w:r>
      <w:r w:rsidR="00082FBB" w:rsidRPr="00082FBB">
        <w:rPr>
          <w:rFonts w:ascii="Arial" w:eastAsia="Arial" w:hAnsi="Arial" w:cs="Arial"/>
          <w:i/>
          <w:iCs/>
          <w:color w:val="000000" w:themeColor="text1"/>
          <w:sz w:val="22"/>
          <w:szCs w:val="22"/>
        </w:rPr>
        <w:t>Por la cual se impone una sanción y se imparte orden</w:t>
      </w:r>
      <w:r w:rsidR="00082FBB" w:rsidRPr="00082FBB">
        <w:rPr>
          <w:rFonts w:ascii="Arial" w:eastAsia="Arial" w:hAnsi="Arial" w:cs="Arial"/>
          <w:color w:val="000000" w:themeColor="text1"/>
          <w:sz w:val="22"/>
          <w:szCs w:val="22"/>
        </w:rPr>
        <w:t>”</w:t>
      </w:r>
      <w:r w:rsidRPr="00082FBB">
        <w:rPr>
          <w:rFonts w:ascii="Arial" w:eastAsia="Arial" w:hAnsi="Arial" w:cs="Arial"/>
          <w:color w:val="000000" w:themeColor="text1"/>
          <w:sz w:val="22"/>
          <w:szCs w:val="22"/>
        </w:rPr>
        <w:t>.</w:t>
      </w:r>
    </w:p>
    <w:p w14:paraId="37C59E54" w14:textId="77777777" w:rsidR="007005EC" w:rsidRDefault="007005EC">
      <w:pPr>
        <w:ind w:right="-92"/>
        <w:jc w:val="both"/>
        <w:rPr>
          <w:rFonts w:ascii="Arial" w:eastAsia="Arial" w:hAnsi="Arial" w:cs="Arial"/>
          <w:color w:val="000000" w:themeColor="text1"/>
          <w:sz w:val="22"/>
          <w:szCs w:val="22"/>
        </w:rPr>
      </w:pPr>
    </w:p>
    <w:p w14:paraId="4B5717C6" w14:textId="67AF5D3F" w:rsidR="007005EC" w:rsidRPr="00082FBB" w:rsidRDefault="007005EC">
      <w:pPr>
        <w:ind w:right="-92"/>
        <w:jc w:val="both"/>
        <w:rPr>
          <w:rFonts w:ascii="Arial" w:eastAsia="Arial" w:hAnsi="Arial" w:cs="Arial"/>
          <w:color w:val="000000" w:themeColor="text1"/>
          <w:sz w:val="22"/>
          <w:szCs w:val="22"/>
        </w:rPr>
      </w:pPr>
      <w:r w:rsidRPr="007005EC">
        <w:rPr>
          <w:rFonts w:ascii="Arial" w:eastAsia="Arial" w:hAnsi="Arial" w:cs="Arial"/>
          <w:color w:val="000000" w:themeColor="text1"/>
          <w:sz w:val="22"/>
          <w:szCs w:val="22"/>
        </w:rPr>
        <w:t xml:space="preserve">Que revisando el sistema de información de la entidad SIGA, y el respectivo expediente, no se evidencia pronunciamiento alguno por parte de los intervinientes en el proceso, respecto a las solicitudes efectuadas por esta </w:t>
      </w:r>
      <w:r>
        <w:rPr>
          <w:rFonts w:ascii="Arial" w:eastAsia="Arial" w:hAnsi="Arial" w:cs="Arial"/>
          <w:color w:val="000000" w:themeColor="text1"/>
          <w:sz w:val="22"/>
          <w:szCs w:val="22"/>
        </w:rPr>
        <w:t>D</w:t>
      </w:r>
      <w:r w:rsidRPr="007005EC">
        <w:rPr>
          <w:rFonts w:ascii="Arial" w:eastAsia="Arial" w:hAnsi="Arial" w:cs="Arial"/>
          <w:color w:val="000000" w:themeColor="text1"/>
          <w:sz w:val="22"/>
          <w:szCs w:val="22"/>
        </w:rPr>
        <w:t>irección, tendientes a corroborar el cumplimiento de la orden de hacer aquí referida</w:t>
      </w:r>
      <w:r>
        <w:rPr>
          <w:rFonts w:ascii="Arial" w:eastAsia="Arial" w:hAnsi="Arial" w:cs="Arial"/>
          <w:color w:val="000000" w:themeColor="text1"/>
          <w:sz w:val="22"/>
          <w:szCs w:val="22"/>
        </w:rPr>
        <w:t>.</w:t>
      </w:r>
    </w:p>
    <w:p w14:paraId="06EE68BB" w14:textId="77777777" w:rsidR="009F4149" w:rsidRPr="00F647A6" w:rsidRDefault="009F4149">
      <w:pPr>
        <w:ind w:right="-92"/>
        <w:jc w:val="both"/>
        <w:rPr>
          <w:rFonts w:ascii="Arial" w:eastAsia="Arial" w:hAnsi="Arial" w:cs="Arial"/>
          <w:sz w:val="22"/>
          <w:szCs w:val="22"/>
        </w:rPr>
      </w:pPr>
    </w:p>
    <w:p w14:paraId="3497022C" w14:textId="0024C44D" w:rsidR="001F61B4" w:rsidRPr="00511EBC" w:rsidRDefault="00146665" w:rsidP="00511EBC">
      <w:pPr>
        <w:ind w:right="-92"/>
        <w:jc w:val="both"/>
        <w:rPr>
          <w:rFonts w:ascii="Arial" w:eastAsia="Arial" w:hAnsi="Arial" w:cs="Arial"/>
          <w:sz w:val="22"/>
          <w:szCs w:val="22"/>
        </w:rPr>
      </w:pPr>
      <w:r w:rsidRPr="00F647A6">
        <w:rPr>
          <w:rFonts w:ascii="Arial" w:eastAsia="Arial" w:hAnsi="Arial" w:cs="Arial"/>
          <w:sz w:val="22"/>
          <w:szCs w:val="22"/>
        </w:rPr>
        <w:t xml:space="preserve">Que, de acuerdo con lo anterior, esta Dirección profirió la Resolución No. 621 del 14 de agosto de </w:t>
      </w:r>
      <w:r w:rsidRPr="00511EBC">
        <w:rPr>
          <w:rFonts w:ascii="Arial" w:eastAsia="Arial" w:hAnsi="Arial" w:cs="Arial"/>
          <w:sz w:val="22"/>
          <w:szCs w:val="22"/>
        </w:rPr>
        <w:t>202</w:t>
      </w:r>
      <w:r w:rsidR="00750806" w:rsidRPr="00511EBC">
        <w:rPr>
          <w:rFonts w:ascii="Arial" w:eastAsia="Arial" w:hAnsi="Arial" w:cs="Arial"/>
          <w:sz w:val="22"/>
          <w:szCs w:val="22"/>
        </w:rPr>
        <w:t>4</w:t>
      </w:r>
      <w:r w:rsidRPr="00511EBC">
        <w:rPr>
          <w:rFonts w:ascii="Arial" w:eastAsia="Arial" w:hAnsi="Arial" w:cs="Arial"/>
          <w:sz w:val="22"/>
          <w:szCs w:val="22"/>
        </w:rPr>
        <w:t xml:space="preserve"> </w:t>
      </w:r>
      <w:r w:rsidRPr="00511EBC">
        <w:rPr>
          <w:rFonts w:ascii="Arial" w:eastAsia="Arial" w:hAnsi="Arial" w:cs="Arial"/>
          <w:i/>
          <w:iCs/>
          <w:sz w:val="22"/>
          <w:szCs w:val="22"/>
        </w:rPr>
        <w:t>“Por la cual se impone una multa por incumplimiento de una orden</w:t>
      </w:r>
      <w:r w:rsidRPr="00511EBC">
        <w:rPr>
          <w:rFonts w:ascii="Arial" w:eastAsia="Arial" w:hAnsi="Arial" w:cs="Arial"/>
          <w:sz w:val="22"/>
          <w:szCs w:val="22"/>
        </w:rPr>
        <w:t>”</w:t>
      </w:r>
      <w:r w:rsidR="00ED270A" w:rsidRPr="00511EBC">
        <w:rPr>
          <w:rFonts w:ascii="Arial" w:eastAsia="Arial" w:hAnsi="Arial" w:cs="Arial"/>
          <w:sz w:val="22"/>
          <w:szCs w:val="22"/>
        </w:rPr>
        <w:t xml:space="preserve">, en la </w:t>
      </w:r>
      <w:r w:rsidR="00ED270A" w:rsidRPr="00511EBC">
        <w:rPr>
          <w:rFonts w:ascii="Arial" w:eastAsia="Arial" w:hAnsi="Arial" w:cs="Arial"/>
          <w:sz w:val="22"/>
          <w:szCs w:val="22"/>
        </w:rPr>
        <w:lastRenderedPageBreak/>
        <w:t xml:space="preserve">cual resolvió: </w:t>
      </w:r>
      <w:r w:rsidR="00F6424B" w:rsidRPr="00511EBC">
        <w:rPr>
          <w:rStyle w:val="s1"/>
          <w:i/>
          <w:iCs/>
        </w:rPr>
        <w:t>“</w:t>
      </w:r>
      <w:r w:rsidR="00511EBC" w:rsidRPr="00511EBC">
        <w:rPr>
          <w:rStyle w:val="s1"/>
          <w:b/>
          <w:bCs/>
          <w:i/>
          <w:iCs/>
          <w:sz w:val="22"/>
          <w:szCs w:val="22"/>
        </w:rPr>
        <w:t>(…)</w:t>
      </w:r>
      <w:r w:rsidR="00693EB1" w:rsidRPr="00511EBC">
        <w:rPr>
          <w:rStyle w:val="s1"/>
          <w:i/>
          <w:iCs/>
          <w:sz w:val="22"/>
          <w:szCs w:val="22"/>
        </w:rPr>
        <w:t xml:space="preserve"> Imponer a la sociedad HHC PENINSULA 140 S.A.S., EN LIQUIDACIÓN identificada con Nit. 900.551.644-1, multa de VEINTICINCO MIL PESOS ($25.000) M/CTE, que</w:t>
      </w:r>
      <w:r w:rsidR="000320FD" w:rsidRPr="00511EBC">
        <w:rPr>
          <w:rStyle w:val="s1"/>
          <w:i/>
          <w:iCs/>
          <w:sz w:val="22"/>
          <w:szCs w:val="22"/>
        </w:rPr>
        <w:t xml:space="preserve"> </w:t>
      </w:r>
      <w:r w:rsidR="00693EB1" w:rsidRPr="00511EBC">
        <w:rPr>
          <w:rStyle w:val="s1"/>
          <w:i/>
          <w:iCs/>
          <w:sz w:val="22"/>
          <w:szCs w:val="22"/>
        </w:rPr>
        <w:t>indexados a la fecha corresponden a CINCO MILLONES CIENTO CINCUENTA Y SEIS MIL QUINIENTOS VEINTIDÓS PESOS ($5.156.522) M/CTE</w:t>
      </w:r>
      <w:r w:rsidR="0087200C">
        <w:rPr>
          <w:rStyle w:val="s1"/>
          <w:i/>
          <w:iCs/>
          <w:sz w:val="22"/>
          <w:szCs w:val="22"/>
        </w:rPr>
        <w:t>.</w:t>
      </w:r>
      <w:r w:rsidR="00F6424B" w:rsidRPr="00511EBC">
        <w:rPr>
          <w:rStyle w:val="s1"/>
          <w:i/>
          <w:iCs/>
          <w:sz w:val="22"/>
          <w:szCs w:val="22"/>
        </w:rPr>
        <w:t>”</w:t>
      </w:r>
    </w:p>
    <w:p w14:paraId="18329928" w14:textId="77777777" w:rsidR="001F61B4" w:rsidRDefault="001F61B4">
      <w:pPr>
        <w:ind w:right="-92"/>
        <w:jc w:val="both"/>
        <w:rPr>
          <w:rFonts w:ascii="Arial" w:eastAsia="Arial" w:hAnsi="Arial" w:cs="Arial"/>
          <w:color w:val="FF9900"/>
          <w:sz w:val="22"/>
          <w:szCs w:val="22"/>
        </w:rPr>
      </w:pPr>
    </w:p>
    <w:p w14:paraId="06EE68BC" w14:textId="64ED0CB6" w:rsidR="009F4149" w:rsidRPr="001F61B4" w:rsidRDefault="001F61B4">
      <w:pPr>
        <w:ind w:right="-92"/>
        <w:jc w:val="both"/>
        <w:rPr>
          <w:rFonts w:ascii="Arial" w:eastAsia="Arial" w:hAnsi="Arial" w:cs="Arial"/>
          <w:color w:val="000000" w:themeColor="text1"/>
          <w:sz w:val="22"/>
          <w:szCs w:val="22"/>
        </w:rPr>
      </w:pPr>
      <w:r w:rsidRPr="001F61B4">
        <w:rPr>
          <w:rFonts w:ascii="Arial" w:eastAsia="Arial" w:hAnsi="Arial" w:cs="Arial"/>
          <w:color w:val="000000" w:themeColor="text1"/>
          <w:sz w:val="22"/>
          <w:szCs w:val="22"/>
        </w:rPr>
        <w:t xml:space="preserve">Que </w:t>
      </w:r>
      <w:r w:rsidR="0087200C">
        <w:rPr>
          <w:rFonts w:ascii="Arial" w:eastAsia="Arial" w:hAnsi="Arial" w:cs="Arial"/>
          <w:color w:val="000000" w:themeColor="text1"/>
          <w:sz w:val="22"/>
          <w:szCs w:val="22"/>
        </w:rPr>
        <w:t xml:space="preserve">luego de notificado en debida forma las partes, </w:t>
      </w:r>
      <w:r w:rsidRPr="001F61B4">
        <w:rPr>
          <w:rFonts w:ascii="Arial" w:eastAsia="Arial" w:hAnsi="Arial" w:cs="Arial"/>
          <w:color w:val="000000" w:themeColor="text1"/>
          <w:sz w:val="22"/>
          <w:szCs w:val="22"/>
        </w:rPr>
        <w:t xml:space="preserve">contra el mencionado acto administrativo no se interpuso recurso alguno, quedando debidamente ejecutoriado a partir del día </w:t>
      </w:r>
      <w:r w:rsidRPr="0087200C">
        <w:rPr>
          <w:rFonts w:ascii="Arial" w:eastAsia="Arial" w:hAnsi="Arial" w:cs="Arial"/>
          <w:color w:val="000000" w:themeColor="text1"/>
          <w:sz w:val="22"/>
          <w:szCs w:val="22"/>
        </w:rPr>
        <w:t>diecinueve (19) de septiembre de 2024</w:t>
      </w:r>
      <w:r w:rsidRPr="001F61B4">
        <w:rPr>
          <w:rFonts w:ascii="Arial" w:eastAsia="Arial" w:hAnsi="Arial" w:cs="Arial"/>
          <w:color w:val="000000" w:themeColor="text1"/>
          <w:sz w:val="22"/>
          <w:szCs w:val="22"/>
        </w:rPr>
        <w:t>.</w:t>
      </w:r>
    </w:p>
    <w:p w14:paraId="06EE68BD" w14:textId="77777777" w:rsidR="009F4149" w:rsidRPr="007B401F" w:rsidRDefault="009F4149">
      <w:pPr>
        <w:ind w:right="-92"/>
        <w:jc w:val="both"/>
        <w:rPr>
          <w:rFonts w:ascii="Arial" w:eastAsia="Arial" w:hAnsi="Arial" w:cs="Arial"/>
          <w:sz w:val="22"/>
          <w:szCs w:val="22"/>
        </w:rPr>
      </w:pPr>
    </w:p>
    <w:p w14:paraId="06EE68BE" w14:textId="2105A466" w:rsidR="009F4149" w:rsidRPr="007B401F" w:rsidRDefault="009E622F">
      <w:pPr>
        <w:ind w:right="-92"/>
        <w:jc w:val="both"/>
        <w:rPr>
          <w:rFonts w:ascii="Arial" w:eastAsia="Arial" w:hAnsi="Arial" w:cs="Arial"/>
          <w:sz w:val="22"/>
          <w:szCs w:val="22"/>
        </w:rPr>
      </w:pPr>
      <w:r w:rsidRPr="007B401F">
        <w:rPr>
          <w:rFonts w:ascii="Arial" w:eastAsia="Arial" w:hAnsi="Arial" w:cs="Arial"/>
          <w:sz w:val="22"/>
          <w:szCs w:val="22"/>
        </w:rPr>
        <w:t>Que mediante radicados 2-2025-54783 y 2-2025-5478</w:t>
      </w:r>
      <w:r w:rsidR="003F2D82" w:rsidRPr="007B401F">
        <w:rPr>
          <w:rFonts w:ascii="Arial" w:eastAsia="Arial" w:hAnsi="Arial" w:cs="Arial"/>
          <w:sz w:val="22"/>
          <w:szCs w:val="22"/>
        </w:rPr>
        <w:t>4</w:t>
      </w:r>
      <w:r w:rsidRPr="007B401F">
        <w:rPr>
          <w:rFonts w:ascii="Arial" w:eastAsia="Arial" w:hAnsi="Arial" w:cs="Arial"/>
          <w:sz w:val="22"/>
          <w:szCs w:val="22"/>
        </w:rPr>
        <w:t xml:space="preserve"> del 10 de septiembre de 2025</w:t>
      </w:r>
      <w:r w:rsidR="0087200C">
        <w:rPr>
          <w:rFonts w:ascii="Arial" w:eastAsia="Arial" w:hAnsi="Arial" w:cs="Arial"/>
          <w:sz w:val="22"/>
          <w:szCs w:val="22"/>
        </w:rPr>
        <w:t xml:space="preserve"> respectivamente</w:t>
      </w:r>
      <w:r w:rsidR="00146F82" w:rsidRPr="007B401F">
        <w:rPr>
          <w:rFonts w:ascii="Arial" w:eastAsia="Arial" w:hAnsi="Arial" w:cs="Arial"/>
          <w:sz w:val="22"/>
          <w:szCs w:val="22"/>
        </w:rPr>
        <w:t>, se requirió a las partes intervinientes para que informaran frente al cumplimiento de la obligación de la orden de hacer contenida en el acto administrativo sancionatorio, particularmente</w:t>
      </w:r>
      <w:r w:rsidR="004E78BF" w:rsidRPr="007B401F">
        <w:rPr>
          <w:rFonts w:ascii="Arial" w:eastAsia="Arial" w:hAnsi="Arial" w:cs="Arial"/>
          <w:sz w:val="22"/>
          <w:szCs w:val="22"/>
        </w:rPr>
        <w:t xml:space="preserve"> los hechos pendientes por subsanar consistente en </w:t>
      </w:r>
      <w:r w:rsidR="004E78BF" w:rsidRPr="007B401F">
        <w:rPr>
          <w:rFonts w:ascii="Arial" w:eastAsia="Arial" w:hAnsi="Arial" w:cs="Arial"/>
          <w:i/>
          <w:iCs/>
          <w:sz w:val="22"/>
          <w:szCs w:val="22"/>
        </w:rPr>
        <w:t>"</w:t>
      </w:r>
      <w:r w:rsidR="004E78BF" w:rsidRPr="007B401F">
        <w:rPr>
          <w:rFonts w:ascii="Arial" w:eastAsia="Arial" w:hAnsi="Arial" w:cs="Arial"/>
          <w:b/>
          <w:bCs/>
          <w:i/>
          <w:iCs/>
          <w:sz w:val="22"/>
          <w:szCs w:val="22"/>
        </w:rPr>
        <w:t>1. FILTRACIONES, 2. GOTERAS y 3. HUMEDADES</w:t>
      </w:r>
      <w:r w:rsidR="004E78BF" w:rsidRPr="007B401F">
        <w:rPr>
          <w:rFonts w:ascii="Arial" w:eastAsia="Arial" w:hAnsi="Arial" w:cs="Arial"/>
          <w:i/>
          <w:iCs/>
          <w:sz w:val="22"/>
          <w:szCs w:val="22"/>
        </w:rPr>
        <w:t>"</w:t>
      </w:r>
      <w:r w:rsidR="007B401F" w:rsidRPr="007B401F">
        <w:rPr>
          <w:rFonts w:ascii="Arial" w:eastAsia="Arial" w:hAnsi="Arial" w:cs="Arial"/>
          <w:i/>
          <w:iCs/>
          <w:sz w:val="22"/>
          <w:szCs w:val="22"/>
        </w:rPr>
        <w:t>.</w:t>
      </w:r>
    </w:p>
    <w:p w14:paraId="06EE68BF" w14:textId="77777777" w:rsidR="009F4149" w:rsidRDefault="009F4149">
      <w:pPr>
        <w:ind w:right="-92"/>
        <w:jc w:val="both"/>
        <w:rPr>
          <w:rFonts w:ascii="Arial" w:eastAsia="Arial" w:hAnsi="Arial" w:cs="Arial"/>
          <w:color w:val="FF9900"/>
          <w:sz w:val="22"/>
          <w:szCs w:val="22"/>
        </w:rPr>
      </w:pPr>
    </w:p>
    <w:p w14:paraId="06EE68C0" w14:textId="10E32BDC" w:rsidR="009F4149" w:rsidRPr="007D3063" w:rsidRDefault="00FE6B9D">
      <w:pPr>
        <w:ind w:right="-92"/>
        <w:jc w:val="both"/>
        <w:rPr>
          <w:rFonts w:ascii="Arial" w:eastAsia="Arial" w:hAnsi="Arial" w:cs="Arial"/>
          <w:sz w:val="22"/>
          <w:szCs w:val="22"/>
        </w:rPr>
      </w:pPr>
      <w:r w:rsidRPr="000A00DE">
        <w:rPr>
          <w:rFonts w:ascii="Arial" w:eastAsia="Arial" w:hAnsi="Arial" w:cs="Arial"/>
          <w:sz w:val="22"/>
          <w:szCs w:val="22"/>
        </w:rPr>
        <w:t xml:space="preserve">Que, </w:t>
      </w:r>
      <w:r w:rsidR="0087200C">
        <w:rPr>
          <w:rFonts w:ascii="Arial" w:eastAsia="Arial" w:hAnsi="Arial" w:cs="Arial"/>
          <w:sz w:val="22"/>
          <w:szCs w:val="22"/>
        </w:rPr>
        <w:t xml:space="preserve">en cumplimiento de las funciones de seguimiento este Despacho </w:t>
      </w:r>
      <w:r w:rsidRPr="000A00DE">
        <w:rPr>
          <w:rFonts w:ascii="Arial" w:eastAsia="Arial" w:hAnsi="Arial" w:cs="Arial"/>
          <w:sz w:val="22"/>
          <w:szCs w:val="22"/>
        </w:rPr>
        <w:t xml:space="preserve">mediante radicado 2-2025-72570 y 2-2025-72572 del 05 de noviembre de 2025, </w:t>
      </w:r>
      <w:r w:rsidR="00D84FE0" w:rsidRPr="000A00DE">
        <w:rPr>
          <w:rFonts w:ascii="Arial" w:eastAsia="Arial" w:hAnsi="Arial" w:cs="Arial"/>
          <w:sz w:val="22"/>
          <w:szCs w:val="22"/>
        </w:rPr>
        <w:t>se informó a las partes intervinientes, que se practicaría visita de carácter técnico al inmueble objeto de la presente investigación administrativa el día</w:t>
      </w:r>
      <w:r w:rsidRPr="000A00DE">
        <w:rPr>
          <w:rFonts w:ascii="Arial" w:eastAsia="Arial" w:hAnsi="Arial" w:cs="Arial"/>
          <w:sz w:val="22"/>
          <w:szCs w:val="22"/>
        </w:rPr>
        <w:t xml:space="preserve"> 18 de noviembre de 2025</w:t>
      </w:r>
      <w:r w:rsidR="001F0E58" w:rsidRPr="000A00DE">
        <w:rPr>
          <w:rFonts w:ascii="Arial" w:eastAsia="Arial" w:hAnsi="Arial" w:cs="Arial"/>
          <w:sz w:val="22"/>
          <w:szCs w:val="22"/>
        </w:rPr>
        <w:t>, a fin de verificar el cumplimiento de las órdenes de hacer impuestas en la Resolución No. 309 del 03 de mayo de 2021</w:t>
      </w:r>
      <w:r w:rsidR="000A00DE" w:rsidRPr="000A00DE">
        <w:rPr>
          <w:rFonts w:ascii="Arial" w:eastAsia="Arial" w:hAnsi="Arial" w:cs="Arial"/>
          <w:sz w:val="22"/>
          <w:szCs w:val="22"/>
        </w:rPr>
        <w:t>.</w:t>
      </w:r>
    </w:p>
    <w:p w14:paraId="06EE68C1" w14:textId="77777777" w:rsidR="009F4149" w:rsidRPr="007D3063" w:rsidRDefault="009F4149">
      <w:pPr>
        <w:ind w:right="-92"/>
        <w:jc w:val="both"/>
        <w:rPr>
          <w:rFonts w:ascii="Arial" w:eastAsia="Arial" w:hAnsi="Arial" w:cs="Arial"/>
          <w:sz w:val="22"/>
          <w:szCs w:val="22"/>
        </w:rPr>
      </w:pPr>
    </w:p>
    <w:p w14:paraId="06EE68C2" w14:textId="31A4C98E" w:rsidR="009F4149" w:rsidRPr="007D3063" w:rsidRDefault="00D64A0B">
      <w:pPr>
        <w:ind w:right="-92"/>
        <w:jc w:val="both"/>
        <w:rPr>
          <w:rFonts w:ascii="Arial" w:eastAsia="Arial" w:hAnsi="Arial" w:cs="Arial"/>
          <w:sz w:val="22"/>
          <w:szCs w:val="22"/>
        </w:rPr>
      </w:pPr>
      <w:r w:rsidRPr="007D3063">
        <w:rPr>
          <w:rFonts w:ascii="Arial" w:eastAsia="Arial" w:hAnsi="Arial" w:cs="Arial"/>
          <w:sz w:val="22"/>
          <w:szCs w:val="22"/>
        </w:rPr>
        <w:t xml:space="preserve">Que, realizada la visita, la parte quejosa no asiste imposibilitando la misma, por </w:t>
      </w:r>
      <w:r w:rsidR="00BF48E5" w:rsidRPr="007D3063">
        <w:rPr>
          <w:rFonts w:ascii="Arial" w:eastAsia="Arial" w:hAnsi="Arial" w:cs="Arial"/>
          <w:sz w:val="22"/>
          <w:szCs w:val="22"/>
        </w:rPr>
        <w:t>ende,</w:t>
      </w:r>
      <w:r w:rsidRPr="007D3063">
        <w:rPr>
          <w:rFonts w:ascii="Arial" w:eastAsia="Arial" w:hAnsi="Arial" w:cs="Arial"/>
          <w:sz w:val="22"/>
          <w:szCs w:val="22"/>
        </w:rPr>
        <w:t xml:space="preserve"> mediante radicado 2-2025-75804</w:t>
      </w:r>
      <w:r w:rsidR="00DB63BC" w:rsidRPr="007D3063">
        <w:rPr>
          <w:rFonts w:ascii="Arial" w:eastAsia="Arial" w:hAnsi="Arial" w:cs="Arial"/>
          <w:sz w:val="22"/>
          <w:szCs w:val="22"/>
        </w:rPr>
        <w:t xml:space="preserve"> del 20 de noviembre de 2025,</w:t>
      </w:r>
      <w:r w:rsidRPr="007D3063">
        <w:rPr>
          <w:rFonts w:ascii="Arial" w:eastAsia="Arial" w:hAnsi="Arial" w:cs="Arial"/>
          <w:sz w:val="22"/>
          <w:szCs w:val="22"/>
        </w:rPr>
        <w:t xml:space="preserve"> este despacho requiere a la parte quejosa para que en un término de diez (10) días se pronuncie sobre su inasistencia, por lo contrario, se darán por cumplidos los hechos </w:t>
      </w:r>
      <w:r w:rsidR="0087200C">
        <w:rPr>
          <w:rFonts w:ascii="Arial" w:eastAsia="Arial" w:hAnsi="Arial" w:cs="Arial"/>
          <w:sz w:val="22"/>
          <w:szCs w:val="22"/>
        </w:rPr>
        <w:t>objeto de la orden</w:t>
      </w:r>
      <w:r w:rsidRPr="007D3063">
        <w:rPr>
          <w:rFonts w:ascii="Arial" w:eastAsia="Arial" w:hAnsi="Arial" w:cs="Arial"/>
          <w:sz w:val="22"/>
          <w:szCs w:val="22"/>
        </w:rPr>
        <w:t xml:space="preserve">. </w:t>
      </w:r>
    </w:p>
    <w:p w14:paraId="06EE68C3" w14:textId="77777777" w:rsidR="009F4149" w:rsidRPr="007D3063" w:rsidRDefault="009F4149">
      <w:pPr>
        <w:ind w:right="-92"/>
        <w:jc w:val="both"/>
        <w:rPr>
          <w:rFonts w:ascii="Arial" w:eastAsia="Arial" w:hAnsi="Arial" w:cs="Arial"/>
          <w:sz w:val="22"/>
          <w:szCs w:val="22"/>
        </w:rPr>
      </w:pPr>
    </w:p>
    <w:p w14:paraId="09FE98A8" w14:textId="77777777" w:rsidR="00DB53CD" w:rsidRPr="007D3063" w:rsidRDefault="00726FF9">
      <w:pPr>
        <w:ind w:right="-92"/>
        <w:jc w:val="both"/>
        <w:rPr>
          <w:rFonts w:ascii="Arial" w:eastAsia="Arial" w:hAnsi="Arial" w:cs="Arial"/>
          <w:sz w:val="22"/>
          <w:szCs w:val="22"/>
        </w:rPr>
      </w:pPr>
      <w:r w:rsidRPr="007D3063">
        <w:rPr>
          <w:rFonts w:ascii="Arial" w:eastAsia="Arial" w:hAnsi="Arial" w:cs="Arial"/>
          <w:sz w:val="22"/>
          <w:szCs w:val="22"/>
        </w:rPr>
        <w:t>Que, realizada la visita, se emitió Informe de Verificación de Hechos No. 25-723 del 23 de diciembre de 2025</w:t>
      </w:r>
      <w:r w:rsidR="00DB53CD" w:rsidRPr="007D3063">
        <w:rPr>
          <w:rFonts w:ascii="Arial" w:eastAsia="Arial" w:hAnsi="Arial" w:cs="Arial"/>
          <w:sz w:val="22"/>
          <w:szCs w:val="22"/>
        </w:rPr>
        <w:t>, en el cual se concluyó:</w:t>
      </w:r>
    </w:p>
    <w:p w14:paraId="4E76A271" w14:textId="77777777" w:rsidR="00DB53CD" w:rsidRPr="007D3063" w:rsidRDefault="00DB53CD">
      <w:pPr>
        <w:ind w:right="-92"/>
        <w:jc w:val="both"/>
        <w:rPr>
          <w:rFonts w:ascii="Arial" w:eastAsia="Arial" w:hAnsi="Arial" w:cs="Arial"/>
          <w:sz w:val="22"/>
          <w:szCs w:val="22"/>
        </w:rPr>
      </w:pPr>
    </w:p>
    <w:p w14:paraId="06EE68C4" w14:textId="26699EA0" w:rsidR="009F4149" w:rsidRPr="007D3063" w:rsidRDefault="00DB53CD" w:rsidP="00DB53CD">
      <w:pPr>
        <w:ind w:right="-92"/>
        <w:jc w:val="center"/>
        <w:rPr>
          <w:rFonts w:ascii="Arial" w:eastAsia="Arial" w:hAnsi="Arial" w:cs="Arial"/>
          <w:i/>
          <w:iCs/>
          <w:sz w:val="22"/>
          <w:szCs w:val="22"/>
        </w:rPr>
      </w:pPr>
      <w:r w:rsidRPr="007D3063">
        <w:rPr>
          <w:rFonts w:ascii="Arial" w:eastAsia="Arial" w:hAnsi="Arial" w:cs="Arial"/>
          <w:i/>
          <w:iCs/>
          <w:sz w:val="22"/>
          <w:szCs w:val="22"/>
        </w:rPr>
        <w:t>HALLAZGOS</w:t>
      </w:r>
    </w:p>
    <w:p w14:paraId="75634989" w14:textId="77777777" w:rsidR="00FC300B" w:rsidRPr="007D3063" w:rsidRDefault="00FC300B" w:rsidP="00DB53CD">
      <w:pPr>
        <w:ind w:right="-92"/>
        <w:jc w:val="center"/>
        <w:rPr>
          <w:rFonts w:ascii="Arial" w:eastAsia="Arial" w:hAnsi="Arial" w:cs="Arial"/>
          <w:i/>
          <w:iCs/>
          <w:sz w:val="22"/>
          <w:szCs w:val="22"/>
        </w:rPr>
      </w:pPr>
    </w:p>
    <w:p w14:paraId="569FA21A" w14:textId="77D7B5D0" w:rsidR="00FA4766" w:rsidRPr="007D3063" w:rsidRDefault="008718C5" w:rsidP="007D3063">
      <w:pPr>
        <w:pStyle w:val="p1"/>
        <w:ind w:left="680" w:right="680"/>
        <w:jc w:val="both"/>
        <w:rPr>
          <w:rStyle w:val="s1"/>
          <w:b/>
          <w:bCs/>
          <w:i/>
          <w:iCs/>
          <w:sz w:val="22"/>
          <w:szCs w:val="22"/>
          <w:u w:val="single"/>
        </w:rPr>
      </w:pPr>
      <w:r w:rsidRPr="007D3063">
        <w:rPr>
          <w:rStyle w:val="s1"/>
          <w:b/>
          <w:bCs/>
          <w:i/>
          <w:iCs/>
          <w:u w:val="single"/>
        </w:rPr>
        <w:t>“</w:t>
      </w:r>
      <w:r w:rsidR="00FA4766" w:rsidRPr="007D3063">
        <w:rPr>
          <w:rStyle w:val="s1"/>
          <w:b/>
          <w:bCs/>
          <w:i/>
          <w:iCs/>
          <w:sz w:val="22"/>
          <w:szCs w:val="22"/>
          <w:u w:val="single"/>
        </w:rPr>
        <w:t>A LA VISITA DE TÉCNICA DE VERIFICACIÓN DE HECHOS NO ASISTIÓ EL QUEJOSO</w:t>
      </w:r>
    </w:p>
    <w:p w14:paraId="27A445D7" w14:textId="77777777" w:rsidR="00FA4766" w:rsidRPr="007D3063" w:rsidRDefault="00FA4766" w:rsidP="007D3063">
      <w:pPr>
        <w:pStyle w:val="p1"/>
        <w:ind w:left="680" w:right="680"/>
        <w:jc w:val="both"/>
        <w:rPr>
          <w:i/>
          <w:iCs/>
          <w:sz w:val="22"/>
          <w:szCs w:val="22"/>
        </w:rPr>
      </w:pPr>
    </w:p>
    <w:p w14:paraId="451AA2F3" w14:textId="599841DE" w:rsidR="00FA4766" w:rsidRPr="007D3063" w:rsidRDefault="00FA4766" w:rsidP="007D3063">
      <w:pPr>
        <w:pStyle w:val="p1"/>
        <w:ind w:left="680" w:right="680"/>
        <w:jc w:val="both"/>
        <w:rPr>
          <w:rStyle w:val="s1"/>
          <w:i/>
          <w:iCs/>
          <w:sz w:val="22"/>
          <w:szCs w:val="22"/>
        </w:rPr>
      </w:pPr>
      <w:r w:rsidRPr="007D3063">
        <w:rPr>
          <w:rStyle w:val="s1"/>
          <w:i/>
          <w:iCs/>
          <w:sz w:val="22"/>
          <w:szCs w:val="22"/>
        </w:rPr>
        <w:t xml:space="preserve">Según lo señalado en el Decreto 572 del 22 de diciembre de 2015, se procedió a citar a visita </w:t>
      </w:r>
      <w:r w:rsidR="00C03403" w:rsidRPr="007D3063">
        <w:rPr>
          <w:rStyle w:val="s1"/>
          <w:i/>
          <w:iCs/>
          <w:sz w:val="22"/>
          <w:szCs w:val="22"/>
        </w:rPr>
        <w:t>certificación</w:t>
      </w:r>
      <w:r w:rsidRPr="007D3063">
        <w:rPr>
          <w:rStyle w:val="s1"/>
          <w:i/>
          <w:iCs/>
          <w:sz w:val="22"/>
          <w:szCs w:val="22"/>
        </w:rPr>
        <w:t xml:space="preserve"> de hechos para el día 18 de noviembre de 2025 a las 9:00 a.m. horas, la cual </w:t>
      </w:r>
      <w:r w:rsidR="00AB6188" w:rsidRPr="007D3063">
        <w:rPr>
          <w:rStyle w:val="s1"/>
          <w:i/>
          <w:iCs/>
          <w:sz w:val="22"/>
          <w:szCs w:val="22"/>
        </w:rPr>
        <w:t>se</w:t>
      </w:r>
      <w:r w:rsidRPr="007D3063">
        <w:rPr>
          <w:rStyle w:val="s1"/>
          <w:i/>
          <w:iCs/>
          <w:sz w:val="22"/>
          <w:szCs w:val="22"/>
        </w:rPr>
        <w:t xml:space="preserve"> comunicó mediante oficio 2-2025-72570 del 6 de noviembre de 2025 y recibido por la portería de EDIFICIO MULTIFAMILIAR ESPACIO 140 el 7 de noviembre de 2025 en el edificio y/o proyecto del quejoso, lo cual consta en consta en la guía de correspondencia como se acredita en el expediente de la queja</w:t>
      </w:r>
      <w:r w:rsidR="008718C5" w:rsidRPr="007D3063">
        <w:rPr>
          <w:rStyle w:val="s1"/>
          <w:i/>
          <w:iCs/>
          <w:sz w:val="22"/>
          <w:szCs w:val="22"/>
        </w:rPr>
        <w:t>.</w:t>
      </w:r>
    </w:p>
    <w:p w14:paraId="7F398A59" w14:textId="77777777" w:rsidR="008718C5" w:rsidRPr="007D3063" w:rsidRDefault="008718C5" w:rsidP="007D3063">
      <w:pPr>
        <w:pStyle w:val="p1"/>
        <w:ind w:left="680" w:right="680"/>
        <w:jc w:val="both"/>
        <w:rPr>
          <w:i/>
          <w:iCs/>
          <w:sz w:val="22"/>
          <w:szCs w:val="22"/>
        </w:rPr>
      </w:pPr>
    </w:p>
    <w:p w14:paraId="29EA2683" w14:textId="7A2EFE1E" w:rsidR="00FA4766" w:rsidRPr="007D3063" w:rsidRDefault="00FA4766" w:rsidP="007D3063">
      <w:pPr>
        <w:pStyle w:val="p1"/>
        <w:ind w:left="680" w:right="680"/>
        <w:jc w:val="both"/>
        <w:rPr>
          <w:i/>
          <w:iCs/>
          <w:sz w:val="22"/>
          <w:szCs w:val="22"/>
        </w:rPr>
      </w:pPr>
      <w:r w:rsidRPr="007D3063">
        <w:rPr>
          <w:rStyle w:val="s1"/>
          <w:i/>
          <w:iCs/>
          <w:sz w:val="22"/>
          <w:szCs w:val="22"/>
        </w:rPr>
        <w:t>Se requirió al quejoso mediante radicado No. 2-2025-75804 del 20 de noviembre de 2025, para que manifestara los motivos de la inasistencia, para lo cual se dieron diez (10) días para responder, a la fecha del presente informe NO ha sido recibida dicha respuesta.</w:t>
      </w:r>
      <w:r w:rsidR="008718C5" w:rsidRPr="007D3063">
        <w:rPr>
          <w:rStyle w:val="s1"/>
          <w:i/>
          <w:iCs/>
          <w:sz w:val="22"/>
          <w:szCs w:val="22"/>
        </w:rPr>
        <w:t>”</w:t>
      </w:r>
    </w:p>
    <w:p w14:paraId="06EE68C5" w14:textId="77777777" w:rsidR="009F4149" w:rsidRPr="007D3063" w:rsidRDefault="009F4149">
      <w:pPr>
        <w:widowControl w:val="0"/>
        <w:jc w:val="both"/>
        <w:rPr>
          <w:rFonts w:ascii="Arial" w:eastAsia="Arial" w:hAnsi="Arial" w:cs="Arial"/>
          <w:sz w:val="22"/>
          <w:szCs w:val="22"/>
        </w:rPr>
      </w:pPr>
    </w:p>
    <w:p w14:paraId="06EE68C6" w14:textId="77777777" w:rsidR="009F4149" w:rsidRDefault="00FE6B9D">
      <w:pPr>
        <w:widowControl w:val="0"/>
        <w:ind w:right="-92"/>
        <w:jc w:val="both"/>
        <w:rPr>
          <w:rFonts w:ascii="Arial" w:eastAsia="Arial" w:hAnsi="Arial" w:cs="Arial"/>
          <w:sz w:val="22"/>
          <w:szCs w:val="22"/>
        </w:rPr>
      </w:pPr>
      <w:r w:rsidRPr="007D3063">
        <w:rPr>
          <w:rFonts w:ascii="Arial" w:eastAsia="Arial" w:hAnsi="Arial" w:cs="Arial"/>
          <w:sz w:val="22"/>
          <w:szCs w:val="22"/>
        </w:rPr>
        <w:t>Que, de acuerdo con lo anterior, la Dirección procede a determinar si en el caso aquí analizado, resulta procedente la imposición de multas sucesivas, de conformidad a lo expuesto en el inciso segundo, numeral 9º del artículo 2º del Decreto Ley 078 de 1987</w:t>
      </w:r>
      <w:r w:rsidRPr="007D3063">
        <w:rPr>
          <w:rFonts w:ascii="Arial" w:eastAsia="Arial" w:hAnsi="Arial" w:cs="Arial"/>
          <w:i/>
          <w:iCs/>
          <w:sz w:val="22"/>
          <w:szCs w:val="22"/>
        </w:rPr>
        <w:t xml:space="preserve">, </w:t>
      </w:r>
      <w:r w:rsidRPr="007D3063">
        <w:rPr>
          <w:rFonts w:ascii="Arial" w:eastAsia="Arial" w:hAnsi="Arial" w:cs="Arial"/>
          <w:sz w:val="22"/>
          <w:szCs w:val="22"/>
        </w:rPr>
        <w:t>o la culminación de la actuación administrativa de seguimiento</w:t>
      </w:r>
      <w:r>
        <w:rPr>
          <w:rFonts w:ascii="Arial" w:eastAsia="Arial" w:hAnsi="Arial" w:cs="Arial"/>
          <w:sz w:val="22"/>
          <w:szCs w:val="22"/>
        </w:rPr>
        <w:t>, previo el siguiente:</w:t>
      </w:r>
    </w:p>
    <w:p w14:paraId="06EE68C7" w14:textId="77777777" w:rsidR="009F4149" w:rsidRDefault="009F4149">
      <w:pPr>
        <w:widowControl w:val="0"/>
        <w:ind w:right="-92"/>
        <w:jc w:val="both"/>
        <w:rPr>
          <w:rFonts w:ascii="Arial" w:eastAsia="Arial" w:hAnsi="Arial" w:cs="Arial"/>
          <w:sz w:val="22"/>
          <w:szCs w:val="22"/>
        </w:rPr>
      </w:pPr>
    </w:p>
    <w:p w14:paraId="06EE68C8" w14:textId="77777777" w:rsidR="009F4149" w:rsidRDefault="00FE6B9D">
      <w:pPr>
        <w:widowControl w:val="0"/>
        <w:jc w:val="center"/>
        <w:rPr>
          <w:rFonts w:ascii="Arial" w:eastAsia="Arial" w:hAnsi="Arial" w:cs="Arial"/>
          <w:b/>
          <w:bCs/>
          <w:sz w:val="22"/>
          <w:szCs w:val="22"/>
        </w:rPr>
      </w:pPr>
      <w:r>
        <w:rPr>
          <w:rFonts w:ascii="Arial" w:eastAsia="Arial" w:hAnsi="Arial" w:cs="Arial"/>
          <w:b/>
          <w:bCs/>
          <w:sz w:val="22"/>
          <w:szCs w:val="22"/>
        </w:rPr>
        <w:t>ANÁLISIS DEL DESPACHO</w:t>
      </w:r>
    </w:p>
    <w:p w14:paraId="06EE68C9" w14:textId="77777777" w:rsidR="009F4149" w:rsidRDefault="009F4149">
      <w:pPr>
        <w:widowControl w:val="0"/>
        <w:rPr>
          <w:rFonts w:ascii="Arial" w:eastAsia="Arial" w:hAnsi="Arial" w:cs="Arial"/>
          <w:b/>
          <w:bCs/>
          <w:sz w:val="22"/>
          <w:szCs w:val="22"/>
        </w:rPr>
      </w:pPr>
    </w:p>
    <w:p w14:paraId="06EE68CA" w14:textId="77777777" w:rsidR="009F4149" w:rsidRDefault="00FE6B9D">
      <w:pPr>
        <w:widowControl w:val="0"/>
        <w:numPr>
          <w:ilvl w:val="0"/>
          <w:numId w:val="1"/>
        </w:numPr>
        <w:ind w:left="720" w:hanging="360"/>
        <w:rPr>
          <w:rFonts w:ascii="Arial" w:eastAsia="Arial" w:hAnsi="Arial" w:cs="Arial"/>
          <w:b/>
          <w:bCs/>
          <w:sz w:val="22"/>
          <w:szCs w:val="22"/>
        </w:rPr>
      </w:pPr>
      <w:r>
        <w:rPr>
          <w:rFonts w:ascii="Arial" w:eastAsia="Arial" w:hAnsi="Arial" w:cs="Arial"/>
          <w:b/>
          <w:bCs/>
          <w:sz w:val="22"/>
          <w:szCs w:val="22"/>
        </w:rPr>
        <w:t>FUNDAMENTO LEGAL</w:t>
      </w:r>
    </w:p>
    <w:p w14:paraId="06EE68CB" w14:textId="77777777" w:rsidR="009F4149" w:rsidRDefault="009F4149">
      <w:pPr>
        <w:widowControl w:val="0"/>
        <w:jc w:val="center"/>
        <w:rPr>
          <w:rFonts w:ascii="Arial" w:eastAsia="Arial" w:hAnsi="Arial" w:cs="Arial"/>
          <w:b/>
          <w:bCs/>
          <w:sz w:val="22"/>
          <w:szCs w:val="22"/>
        </w:rPr>
      </w:pPr>
    </w:p>
    <w:p w14:paraId="06EE68CC" w14:textId="77777777" w:rsidR="009F4149" w:rsidRDefault="00FE6B9D">
      <w:pPr>
        <w:widowControl w:val="0"/>
        <w:jc w:val="both"/>
        <w:rPr>
          <w:rFonts w:ascii="Arial" w:eastAsia="Arial" w:hAnsi="Arial" w:cs="Arial"/>
          <w:sz w:val="22"/>
          <w:szCs w:val="22"/>
        </w:rPr>
      </w:pPr>
      <w:r>
        <w:rPr>
          <w:rFonts w:ascii="Arial" w:eastAsia="Arial" w:hAnsi="Arial" w:cs="Arial"/>
          <w:sz w:val="22"/>
          <w:szCs w:val="22"/>
        </w:rPr>
        <w:t>Debe esta Dirección partir de que la función de inspección, vigilancia y control sobre la actividad de enajenación de inmuebles destinados a vivienda, de conformidad con las Leyes 66 de 1968, 388 de 1997, Decretos Leyes 2610 de 1979 y 078 de 1987 y demás normas concordantes, se ejerce sobre las personas naturales o jurídicas que desarrollen la actividad de enajenación de vivienda en el Distrito, con el propósito de resguardar el orden social y amparar la observancia de la ley.</w:t>
      </w:r>
    </w:p>
    <w:p w14:paraId="06EE68CD" w14:textId="77777777" w:rsidR="009F4149" w:rsidRDefault="009F4149">
      <w:pPr>
        <w:widowControl w:val="0"/>
        <w:jc w:val="both"/>
        <w:rPr>
          <w:rFonts w:ascii="Arial" w:eastAsia="Arial" w:hAnsi="Arial" w:cs="Arial"/>
          <w:sz w:val="22"/>
          <w:szCs w:val="22"/>
        </w:rPr>
      </w:pPr>
    </w:p>
    <w:p w14:paraId="06EE68CE" w14:textId="500DB9B0" w:rsidR="009F4149" w:rsidRPr="0087200C" w:rsidRDefault="00FE6B9D">
      <w:pPr>
        <w:widowControl w:val="0"/>
        <w:jc w:val="both"/>
        <w:rPr>
          <w:rFonts w:ascii="Arial" w:eastAsia="Arial" w:hAnsi="Arial" w:cs="Arial"/>
          <w:sz w:val="22"/>
          <w:szCs w:val="22"/>
        </w:rPr>
      </w:pPr>
      <w:r>
        <w:rPr>
          <w:rFonts w:ascii="Arial" w:eastAsia="Arial" w:hAnsi="Arial" w:cs="Arial"/>
          <w:sz w:val="22"/>
          <w:szCs w:val="22"/>
        </w:rPr>
        <w:t xml:space="preserve">Bajo este entendido, el parágrafo del artículo 111 del Decreto 653 de 2015 establece que la </w:t>
      </w:r>
      <w:r>
        <w:rPr>
          <w:rFonts w:ascii="Arial" w:eastAsia="Arial" w:hAnsi="Arial" w:cs="Arial"/>
          <w:sz w:val="22"/>
          <w:szCs w:val="22"/>
          <w:highlight w:val="white"/>
        </w:rPr>
        <w:t xml:space="preserve">Subsecretaría de Inspección, Vigilancia y Control de Vivienda de la Secretaría Distrital del Hábitat, adelantará de oficio o a petición de parte las investigaciones administrativas por infracción a las normas que regulan el régimen de construcción y enajenación, </w:t>
      </w:r>
      <w:r w:rsidRPr="000D3B66">
        <w:rPr>
          <w:rFonts w:ascii="Arial" w:eastAsia="Arial" w:hAnsi="Arial" w:cs="Arial"/>
          <w:sz w:val="22"/>
          <w:szCs w:val="22"/>
          <w:highlight w:val="white"/>
        </w:rPr>
        <w:t xml:space="preserve">autoconstrucción, arrendamiento e intermediación de vivienda, por lo que, en ejercicio de estas </w:t>
      </w:r>
      <w:r w:rsidRPr="0087200C">
        <w:rPr>
          <w:rFonts w:ascii="Arial" w:eastAsia="Arial" w:hAnsi="Arial" w:cs="Arial"/>
          <w:sz w:val="22"/>
          <w:szCs w:val="22"/>
          <w:highlight w:val="white"/>
        </w:rPr>
        <w:t xml:space="preserve">funciones, </w:t>
      </w:r>
      <w:r w:rsidRPr="0087200C">
        <w:rPr>
          <w:rFonts w:ascii="Arial" w:eastAsia="Arial" w:hAnsi="Arial" w:cs="Arial"/>
          <w:sz w:val="22"/>
          <w:szCs w:val="22"/>
        </w:rPr>
        <w:t>esta Entidad procedió a imponer sanción mediante la Resolución No. 309 del 03 de mayo de 2021 “</w:t>
      </w:r>
      <w:r w:rsidRPr="0087200C">
        <w:rPr>
          <w:rFonts w:ascii="Arial" w:eastAsia="Arial" w:hAnsi="Arial" w:cs="Arial"/>
          <w:i/>
          <w:iCs/>
          <w:sz w:val="22"/>
          <w:szCs w:val="22"/>
        </w:rPr>
        <w:t>Por la cual se impone una sanción y se imparte una orden</w:t>
      </w:r>
      <w:r w:rsidRPr="0087200C">
        <w:rPr>
          <w:rFonts w:ascii="Arial" w:eastAsia="Arial" w:hAnsi="Arial" w:cs="Arial"/>
          <w:sz w:val="22"/>
          <w:szCs w:val="22"/>
        </w:rPr>
        <w:t xml:space="preserve">”, a la sociedad enajenadora </w:t>
      </w:r>
      <w:r w:rsidRPr="0087200C">
        <w:rPr>
          <w:rFonts w:ascii="Arial" w:eastAsia="Arial" w:hAnsi="Arial" w:cs="Arial"/>
          <w:sz w:val="22"/>
          <w:szCs w:val="22"/>
          <w:highlight w:val="white"/>
        </w:rPr>
        <w:t>HHC PENÍNSULA 140</w:t>
      </w:r>
      <w:r w:rsidR="00755997" w:rsidRPr="0087200C">
        <w:rPr>
          <w:rFonts w:ascii="Arial" w:eastAsia="Arial" w:hAnsi="Arial" w:cs="Arial"/>
          <w:sz w:val="22"/>
          <w:szCs w:val="22"/>
        </w:rPr>
        <w:t xml:space="preserve"> S.A.S. – EN LIQUIDACIÓN</w:t>
      </w:r>
      <w:r w:rsidRPr="0087200C">
        <w:rPr>
          <w:rFonts w:ascii="Arial" w:eastAsia="Arial" w:hAnsi="Arial" w:cs="Arial"/>
          <w:sz w:val="22"/>
          <w:szCs w:val="22"/>
        </w:rPr>
        <w:t>,</w:t>
      </w:r>
      <w:r w:rsidRPr="0087200C">
        <w:rPr>
          <w:rFonts w:ascii="Arial" w:eastAsia="Arial" w:hAnsi="Arial" w:cs="Arial"/>
          <w:sz w:val="22"/>
          <w:szCs w:val="22"/>
          <w:highlight w:val="white"/>
        </w:rPr>
        <w:t xml:space="preserve"> </w:t>
      </w:r>
      <w:r w:rsidRPr="0087200C">
        <w:rPr>
          <w:rFonts w:ascii="Arial" w:eastAsia="Arial" w:hAnsi="Arial" w:cs="Arial"/>
          <w:sz w:val="22"/>
          <w:szCs w:val="22"/>
        </w:rPr>
        <w:t>consistente en multa y orden de hacer.</w:t>
      </w:r>
    </w:p>
    <w:p w14:paraId="06EE68CF" w14:textId="77777777" w:rsidR="009F4149" w:rsidRDefault="009F4149">
      <w:pPr>
        <w:widowControl w:val="0"/>
        <w:jc w:val="both"/>
        <w:rPr>
          <w:rFonts w:ascii="Arial" w:eastAsia="Arial" w:hAnsi="Arial" w:cs="Arial"/>
          <w:sz w:val="22"/>
          <w:szCs w:val="22"/>
        </w:rPr>
      </w:pPr>
    </w:p>
    <w:p w14:paraId="06EE68D0" w14:textId="77777777" w:rsidR="009F4149" w:rsidRDefault="00FE6B9D">
      <w:pPr>
        <w:widowControl w:val="0"/>
        <w:jc w:val="both"/>
        <w:rPr>
          <w:rFonts w:ascii="Arial" w:eastAsia="Arial" w:hAnsi="Arial" w:cs="Arial"/>
          <w:sz w:val="22"/>
          <w:szCs w:val="22"/>
        </w:rPr>
      </w:pPr>
      <w:bookmarkStart w:id="0" w:name="_heading=h.lwtbhv3cbsp7" w:colFirst="0" w:colLast="0"/>
      <w:bookmarkEnd w:id="0"/>
      <w:r>
        <w:rPr>
          <w:rFonts w:ascii="Arial" w:eastAsia="Arial" w:hAnsi="Arial" w:cs="Arial"/>
          <w:sz w:val="22"/>
          <w:szCs w:val="22"/>
        </w:rPr>
        <w:t xml:space="preserve">Ahora bien, señala el artículo 126 del Decreto Distrital 653 de 2015 que, una vez ejecutoriada la actuación que imponga una orden a los enajenadores responsables de un proyecto de vivienda, y superado el término dispuesto para su cumplimiento, se adelantará el </w:t>
      </w:r>
      <w:r>
        <w:rPr>
          <w:rFonts w:ascii="Arial" w:eastAsia="Arial" w:hAnsi="Arial" w:cs="Arial"/>
          <w:b/>
          <w:bCs/>
          <w:sz w:val="22"/>
          <w:szCs w:val="22"/>
        </w:rPr>
        <w:t>SEGUIMIENTO A LA ORDEN</w:t>
      </w:r>
      <w:r>
        <w:rPr>
          <w:rFonts w:ascii="Arial" w:eastAsia="Arial" w:hAnsi="Arial" w:cs="Arial"/>
          <w:sz w:val="22"/>
          <w:szCs w:val="22"/>
        </w:rPr>
        <w:t xml:space="preserve"> para corroborar el cumplimiento del acto administrativo que la impuso.</w:t>
      </w:r>
    </w:p>
    <w:p w14:paraId="06EE68D1" w14:textId="77777777" w:rsidR="009F4149" w:rsidRDefault="009F4149">
      <w:pPr>
        <w:widowControl w:val="0"/>
        <w:jc w:val="both"/>
        <w:rPr>
          <w:rFonts w:ascii="Arial" w:eastAsia="Arial" w:hAnsi="Arial" w:cs="Arial"/>
          <w:sz w:val="22"/>
          <w:szCs w:val="22"/>
        </w:rPr>
      </w:pPr>
    </w:p>
    <w:p w14:paraId="06EE68D2" w14:textId="77777777" w:rsidR="009F4149" w:rsidRDefault="00FE6B9D">
      <w:pPr>
        <w:widowControl w:val="0"/>
        <w:jc w:val="both"/>
        <w:rPr>
          <w:rFonts w:ascii="Arial" w:eastAsia="Arial" w:hAnsi="Arial" w:cs="Arial"/>
          <w:sz w:val="22"/>
          <w:szCs w:val="22"/>
        </w:rPr>
      </w:pPr>
      <w:r>
        <w:rPr>
          <w:rFonts w:ascii="Arial" w:eastAsia="Arial" w:hAnsi="Arial" w:cs="Arial"/>
          <w:sz w:val="22"/>
          <w:szCs w:val="22"/>
        </w:rPr>
        <w:t xml:space="preserve">Para el seguimiento a la orden, el artículo 2, numeral 9 del Decreto Ley 078 de 1987, en concordancia con el artículo 28 de la Ley 66 de 1968, modificado por el artículo 11 del Decreto Ley 2610 de 1979, establece la imposición de multas sucesivas de diez mil pesos ($10.000.oo) a quinientos mil pesos ($500.000.oo) M/cte., a las personas o entidades que </w:t>
      </w:r>
      <w:r>
        <w:rPr>
          <w:rFonts w:ascii="Arial" w:eastAsia="Arial" w:hAnsi="Arial" w:cs="Arial"/>
          <w:b/>
          <w:bCs/>
          <w:sz w:val="22"/>
          <w:szCs w:val="22"/>
          <w:u w:val="single"/>
        </w:rPr>
        <w:t>incumplan las órdenes</w:t>
      </w:r>
      <w:r>
        <w:rPr>
          <w:rFonts w:ascii="Arial" w:eastAsia="Arial" w:hAnsi="Arial" w:cs="Arial"/>
          <w:sz w:val="22"/>
          <w:szCs w:val="22"/>
        </w:rPr>
        <w:t xml:space="preserve"> o requerimientos que en uso de las facultades de inspección y vigilancia expida la autoridad de vivienda, para que se sujeten a las normas exigidas por las autoridades nacionales, departamentales, metropolitanas, municipales y distritales y/o para que se ajusten a las prescripciones de la Ley 66 de 1968. </w:t>
      </w:r>
    </w:p>
    <w:p w14:paraId="06EE68D3" w14:textId="77777777" w:rsidR="009F4149" w:rsidRDefault="009F4149">
      <w:pPr>
        <w:widowControl w:val="0"/>
        <w:jc w:val="both"/>
        <w:rPr>
          <w:rFonts w:ascii="Arial" w:eastAsia="Arial" w:hAnsi="Arial" w:cs="Arial"/>
          <w:sz w:val="22"/>
          <w:szCs w:val="22"/>
        </w:rPr>
      </w:pPr>
    </w:p>
    <w:p w14:paraId="06EE68D4" w14:textId="77777777" w:rsidR="009F4149" w:rsidRDefault="00FE6B9D">
      <w:pPr>
        <w:widowControl w:val="0"/>
        <w:jc w:val="both"/>
        <w:rPr>
          <w:rFonts w:ascii="Arial" w:eastAsia="Arial" w:hAnsi="Arial" w:cs="Arial"/>
          <w:sz w:val="22"/>
          <w:szCs w:val="22"/>
        </w:rPr>
      </w:pPr>
      <w:r>
        <w:rPr>
          <w:rFonts w:ascii="Arial" w:eastAsia="Arial" w:hAnsi="Arial" w:cs="Arial"/>
          <w:sz w:val="22"/>
          <w:szCs w:val="22"/>
        </w:rPr>
        <w:t xml:space="preserve">En el mismo sentido, el artículo 90 de la Ley 1437 de 2011, Código de Procedimiento Administrativo y de lo Contencioso Administrativo, establece que, sin perjuicio de lo dispuesto en leyes especiales, cuando un acto administrativo imponga una obligación no dineraria a un particular y este se resistiere a cumplirla, la autoridad que expidió el acto le </w:t>
      </w:r>
      <w:r>
        <w:rPr>
          <w:rFonts w:ascii="Arial" w:eastAsia="Arial" w:hAnsi="Arial" w:cs="Arial"/>
          <w:sz w:val="22"/>
          <w:szCs w:val="22"/>
        </w:rPr>
        <w:lastRenderedPageBreak/>
        <w:t xml:space="preserve">impondrá multas sucesivas mientras permanezca en rebeldía, concediéndole plazos razonables para que cumpla lo ordenado. </w:t>
      </w:r>
    </w:p>
    <w:p w14:paraId="06EE68D5" w14:textId="77777777" w:rsidR="009F4149" w:rsidRDefault="009F4149">
      <w:pPr>
        <w:widowControl w:val="0"/>
        <w:jc w:val="both"/>
        <w:rPr>
          <w:rFonts w:ascii="Arial" w:eastAsia="Arial" w:hAnsi="Arial" w:cs="Arial"/>
          <w:sz w:val="22"/>
          <w:szCs w:val="22"/>
        </w:rPr>
      </w:pPr>
    </w:p>
    <w:p w14:paraId="06EE68D6" w14:textId="77777777" w:rsidR="009F4149" w:rsidRPr="000D3B66" w:rsidRDefault="00FE6B9D">
      <w:pPr>
        <w:widowControl w:val="0"/>
        <w:jc w:val="both"/>
        <w:rPr>
          <w:rFonts w:ascii="Arial" w:eastAsia="Arial" w:hAnsi="Arial" w:cs="Arial"/>
          <w:sz w:val="22"/>
          <w:szCs w:val="22"/>
        </w:rPr>
      </w:pPr>
      <w:r>
        <w:rPr>
          <w:rFonts w:ascii="Arial" w:eastAsia="Arial" w:hAnsi="Arial" w:cs="Arial"/>
          <w:sz w:val="22"/>
          <w:szCs w:val="22"/>
        </w:rPr>
        <w:t xml:space="preserve">En concordancia con lo expresado, viendo que de las actuaciones adelantadas no se desprende causal de nulidad alguna en el procedimiento, procede este Despacho a realizar el estudio de los elementos probatorios </w:t>
      </w:r>
      <w:r w:rsidRPr="000D3B66">
        <w:rPr>
          <w:rFonts w:ascii="Arial" w:eastAsia="Arial" w:hAnsi="Arial" w:cs="Arial"/>
          <w:sz w:val="22"/>
          <w:szCs w:val="22"/>
        </w:rPr>
        <w:t>recaudados por esta Dirección, sobre los hechos objeto de la orden hacer contenida en la Resolución No. 309 del 03 de mayo de 2021 “</w:t>
      </w:r>
      <w:r w:rsidRPr="000D3B66">
        <w:rPr>
          <w:rFonts w:ascii="Arial" w:eastAsia="Arial" w:hAnsi="Arial" w:cs="Arial"/>
          <w:i/>
          <w:iCs/>
          <w:sz w:val="22"/>
          <w:szCs w:val="22"/>
        </w:rPr>
        <w:t>Por la cual se impone una sanción y se imparte una orden”</w:t>
      </w:r>
      <w:r w:rsidRPr="000D3B66">
        <w:rPr>
          <w:rFonts w:ascii="Arial" w:eastAsia="Arial" w:hAnsi="Arial" w:cs="Arial"/>
          <w:sz w:val="22"/>
          <w:szCs w:val="22"/>
        </w:rPr>
        <w:t>, con el fin de determinar si existe mérito para imposición de nuevas multas o si se ha dado cumplimiento a la orden de hacer.</w:t>
      </w:r>
    </w:p>
    <w:p w14:paraId="06EE68D7" w14:textId="77777777" w:rsidR="009F4149" w:rsidRDefault="009F4149">
      <w:pPr>
        <w:widowControl w:val="0"/>
        <w:jc w:val="both"/>
        <w:rPr>
          <w:rFonts w:ascii="Arial" w:eastAsia="Arial" w:hAnsi="Arial" w:cs="Arial"/>
          <w:b/>
          <w:bCs/>
          <w:sz w:val="22"/>
          <w:szCs w:val="22"/>
        </w:rPr>
      </w:pPr>
    </w:p>
    <w:p w14:paraId="06EE68D8" w14:textId="77777777" w:rsidR="009F4149" w:rsidRDefault="00FE6B9D">
      <w:pPr>
        <w:widowControl w:val="0"/>
        <w:numPr>
          <w:ilvl w:val="0"/>
          <w:numId w:val="2"/>
        </w:numPr>
        <w:pBdr>
          <w:top w:val="nil"/>
          <w:left w:val="nil"/>
          <w:bottom w:val="nil"/>
          <w:right w:val="nil"/>
          <w:between w:val="nil"/>
        </w:pBdr>
        <w:spacing w:after="160" w:line="278" w:lineRule="auto"/>
        <w:jc w:val="both"/>
        <w:rPr>
          <w:rFonts w:ascii="Arial" w:eastAsia="Arial" w:hAnsi="Arial" w:cs="Arial"/>
          <w:b/>
          <w:bCs/>
          <w:color w:val="000000"/>
          <w:sz w:val="22"/>
          <w:szCs w:val="22"/>
        </w:rPr>
      </w:pPr>
      <w:r>
        <w:rPr>
          <w:rFonts w:ascii="Arial" w:eastAsia="Arial" w:hAnsi="Arial" w:cs="Arial"/>
          <w:b/>
          <w:bCs/>
          <w:color w:val="000000"/>
          <w:sz w:val="22"/>
          <w:szCs w:val="22"/>
        </w:rPr>
        <w:t xml:space="preserve"> ANÁLISIS PROBATORIO</w:t>
      </w:r>
    </w:p>
    <w:p w14:paraId="252C7A4A" w14:textId="0C0FC949" w:rsidR="0027154E" w:rsidRDefault="00FE6B9D">
      <w:pPr>
        <w:widowControl w:val="0"/>
        <w:spacing w:after="160"/>
        <w:jc w:val="both"/>
        <w:rPr>
          <w:rFonts w:ascii="Arial" w:eastAsia="Arial" w:hAnsi="Arial" w:cs="Arial"/>
          <w:sz w:val="22"/>
          <w:szCs w:val="22"/>
        </w:rPr>
      </w:pPr>
      <w:r>
        <w:rPr>
          <w:rFonts w:ascii="Arial" w:eastAsia="Arial" w:hAnsi="Arial" w:cs="Arial"/>
          <w:sz w:val="22"/>
          <w:szCs w:val="22"/>
        </w:rPr>
        <w:t xml:space="preserve">En efecto, para que esta Subdirección proceda a eliminar o eximir a un vigilado del cumplimiento de una orden de hacer </w:t>
      </w:r>
      <w:r w:rsidR="00136880">
        <w:rPr>
          <w:rFonts w:ascii="Arial" w:eastAsia="Arial" w:hAnsi="Arial" w:cs="Arial"/>
          <w:sz w:val="22"/>
          <w:szCs w:val="22"/>
        </w:rPr>
        <w:t>en virtud de</w:t>
      </w:r>
      <w:r>
        <w:rPr>
          <w:rFonts w:ascii="Arial" w:eastAsia="Arial" w:hAnsi="Arial" w:cs="Arial"/>
          <w:sz w:val="22"/>
          <w:szCs w:val="22"/>
        </w:rPr>
        <w:t xml:space="preserve"> la falta de colaboración por parte del quejoso </w:t>
      </w:r>
      <w:r w:rsidR="0027154E">
        <w:rPr>
          <w:rFonts w:ascii="Arial" w:eastAsia="Arial" w:hAnsi="Arial" w:cs="Arial"/>
          <w:sz w:val="22"/>
          <w:szCs w:val="22"/>
        </w:rPr>
        <w:t xml:space="preserve">luego de evidenciar diferentes actuaciones que no fueron atendidas por la parte quejosa como se evidencia aun a sabiendas de que su silencio era causal de entenderse por cumplida la orden de acuerdo tal y como se manifestó en el radicado 2-2025-75804 que refirió lo siguiente: </w:t>
      </w:r>
    </w:p>
    <w:p w14:paraId="2A77EE00" w14:textId="6AD52BAD" w:rsidR="0027154E" w:rsidRDefault="0027154E" w:rsidP="0027154E">
      <w:pPr>
        <w:widowControl w:val="0"/>
        <w:spacing w:after="160"/>
        <w:jc w:val="both"/>
        <w:rPr>
          <w:rFonts w:ascii="Arial" w:eastAsia="Arial" w:hAnsi="Arial" w:cs="Arial"/>
          <w:sz w:val="22"/>
          <w:szCs w:val="22"/>
        </w:rPr>
      </w:pPr>
      <w:r>
        <w:rPr>
          <w:rFonts w:ascii="Arial" w:eastAsia="Arial" w:hAnsi="Arial" w:cs="Arial"/>
          <w:sz w:val="22"/>
          <w:szCs w:val="22"/>
        </w:rPr>
        <w:tab/>
        <w:t xml:space="preserve">“(…) </w:t>
      </w:r>
      <w:r>
        <w:rPr>
          <w:rFonts w:ascii="Arial" w:eastAsia="Arial" w:hAnsi="Arial" w:cs="Arial"/>
          <w:i/>
          <w:iCs/>
          <w:sz w:val="22"/>
          <w:szCs w:val="22"/>
        </w:rPr>
        <w:t xml:space="preserve">solicito a la parte quejosa informaran los motivos de su inasistencia en el </w:t>
      </w:r>
      <w:r>
        <w:rPr>
          <w:rFonts w:ascii="Arial" w:eastAsia="Arial" w:hAnsi="Arial" w:cs="Arial"/>
          <w:i/>
          <w:iCs/>
          <w:sz w:val="22"/>
          <w:szCs w:val="22"/>
        </w:rPr>
        <w:tab/>
        <w:t xml:space="preserve">término de diez (10) días, en caso de no hacerlo se entenderá por cumplida la orden, </w:t>
      </w:r>
      <w:r>
        <w:rPr>
          <w:rFonts w:ascii="Arial" w:eastAsia="Arial" w:hAnsi="Arial" w:cs="Arial"/>
          <w:i/>
          <w:iCs/>
          <w:sz w:val="22"/>
          <w:szCs w:val="22"/>
        </w:rPr>
        <w:tab/>
        <w:t xml:space="preserve">requerimiento del cual no se recibió respuesta alguna luego de ser notificado de </w:t>
      </w:r>
      <w:r>
        <w:rPr>
          <w:rFonts w:ascii="Arial" w:eastAsia="Arial" w:hAnsi="Arial" w:cs="Arial"/>
          <w:i/>
          <w:iCs/>
          <w:sz w:val="22"/>
          <w:szCs w:val="22"/>
        </w:rPr>
        <w:tab/>
        <w:t xml:space="preserve"> a </w:t>
      </w:r>
      <w:r>
        <w:rPr>
          <w:rFonts w:ascii="Arial" w:eastAsia="Arial" w:hAnsi="Arial" w:cs="Arial"/>
          <w:i/>
          <w:iCs/>
          <w:sz w:val="22"/>
          <w:szCs w:val="22"/>
        </w:rPr>
        <w:tab/>
        <w:t>guía de entrega, y aun así guardo silencio (…).</w:t>
      </w:r>
    </w:p>
    <w:p w14:paraId="68546A32" w14:textId="6F0D4EE4" w:rsidR="0027154E" w:rsidRPr="007D3063" w:rsidRDefault="0027154E" w:rsidP="0027154E">
      <w:pPr>
        <w:widowControl w:val="0"/>
        <w:spacing w:after="160"/>
        <w:jc w:val="both"/>
        <w:rPr>
          <w:rFonts w:ascii="Arial" w:eastAsia="Arial" w:hAnsi="Arial" w:cs="Arial"/>
          <w:sz w:val="22"/>
          <w:szCs w:val="22"/>
        </w:rPr>
      </w:pPr>
      <w:r>
        <w:rPr>
          <w:rFonts w:ascii="Arial" w:eastAsia="Arial" w:hAnsi="Arial" w:cs="Arial"/>
          <w:sz w:val="22"/>
          <w:szCs w:val="22"/>
        </w:rPr>
        <w:t xml:space="preserve">Hechos que también se encuentra plasmados en el Informe de Verificación de Hechos </w:t>
      </w:r>
      <w:r w:rsidRPr="007D3063">
        <w:rPr>
          <w:rFonts w:ascii="Arial" w:eastAsia="Arial" w:hAnsi="Arial" w:cs="Arial"/>
          <w:sz w:val="22"/>
          <w:szCs w:val="22"/>
        </w:rPr>
        <w:t>No. 25-723 del 23 de diciembre de 2025, en el cual se concluyó:</w:t>
      </w:r>
    </w:p>
    <w:p w14:paraId="49F01FB0" w14:textId="77777777" w:rsidR="0027154E" w:rsidRPr="009D1F78" w:rsidRDefault="0027154E" w:rsidP="0027154E">
      <w:pPr>
        <w:ind w:right="-92"/>
        <w:jc w:val="center"/>
        <w:rPr>
          <w:rFonts w:ascii="Arial" w:eastAsia="Arial" w:hAnsi="Arial" w:cs="Arial"/>
          <w:i/>
          <w:iCs/>
          <w:sz w:val="21"/>
          <w:szCs w:val="21"/>
        </w:rPr>
      </w:pPr>
      <w:r w:rsidRPr="009D1F78">
        <w:rPr>
          <w:rFonts w:ascii="Arial" w:eastAsia="Arial" w:hAnsi="Arial" w:cs="Arial"/>
          <w:i/>
          <w:iCs/>
          <w:sz w:val="21"/>
          <w:szCs w:val="21"/>
        </w:rPr>
        <w:t>HALLAZGOS</w:t>
      </w:r>
    </w:p>
    <w:p w14:paraId="1BFC8BEA" w14:textId="77777777" w:rsidR="0027154E" w:rsidRPr="009D1F78" w:rsidRDefault="0027154E" w:rsidP="0027154E">
      <w:pPr>
        <w:ind w:right="-92"/>
        <w:jc w:val="center"/>
        <w:rPr>
          <w:rFonts w:ascii="Arial" w:eastAsia="Arial" w:hAnsi="Arial" w:cs="Arial"/>
          <w:i/>
          <w:iCs/>
          <w:sz w:val="21"/>
          <w:szCs w:val="21"/>
        </w:rPr>
      </w:pPr>
    </w:p>
    <w:p w14:paraId="429055D7" w14:textId="77777777" w:rsidR="0027154E" w:rsidRPr="009D1F78" w:rsidRDefault="0027154E" w:rsidP="0027154E">
      <w:pPr>
        <w:pStyle w:val="p1"/>
        <w:ind w:left="680" w:right="680"/>
        <w:jc w:val="both"/>
        <w:rPr>
          <w:rStyle w:val="s1"/>
          <w:rFonts w:ascii="Arial" w:hAnsi="Arial" w:cs="Arial"/>
          <w:b/>
          <w:bCs/>
          <w:i/>
          <w:iCs/>
          <w:sz w:val="21"/>
          <w:szCs w:val="21"/>
          <w:u w:val="single"/>
        </w:rPr>
      </w:pPr>
      <w:r w:rsidRPr="009D1F78">
        <w:rPr>
          <w:rStyle w:val="s1"/>
          <w:rFonts w:ascii="Arial" w:hAnsi="Arial" w:cs="Arial"/>
          <w:b/>
          <w:bCs/>
          <w:i/>
          <w:iCs/>
          <w:sz w:val="21"/>
          <w:szCs w:val="21"/>
          <w:u w:val="single"/>
        </w:rPr>
        <w:t>“A LA VISITA DE TÉCNICA DE VERIFICACIÓN DE HECHOS NO ASISTIÓ EL QUEJOSO</w:t>
      </w:r>
    </w:p>
    <w:p w14:paraId="3639FE09" w14:textId="77777777" w:rsidR="0027154E" w:rsidRPr="009D1F78" w:rsidRDefault="0027154E" w:rsidP="0027154E">
      <w:pPr>
        <w:pStyle w:val="p1"/>
        <w:ind w:left="680" w:right="680"/>
        <w:jc w:val="both"/>
        <w:rPr>
          <w:rFonts w:ascii="Arial" w:hAnsi="Arial" w:cs="Arial"/>
          <w:i/>
          <w:iCs/>
          <w:sz w:val="21"/>
          <w:szCs w:val="21"/>
        </w:rPr>
      </w:pPr>
    </w:p>
    <w:p w14:paraId="69D36C72" w14:textId="77777777" w:rsidR="0027154E" w:rsidRPr="009D1F78" w:rsidRDefault="0027154E" w:rsidP="0027154E">
      <w:pPr>
        <w:pStyle w:val="p1"/>
        <w:ind w:left="680" w:right="680"/>
        <w:jc w:val="both"/>
        <w:rPr>
          <w:rStyle w:val="s1"/>
          <w:rFonts w:ascii="Arial" w:hAnsi="Arial" w:cs="Arial"/>
          <w:i/>
          <w:iCs/>
          <w:sz w:val="21"/>
          <w:szCs w:val="21"/>
        </w:rPr>
      </w:pPr>
      <w:r w:rsidRPr="009D1F78">
        <w:rPr>
          <w:rStyle w:val="s1"/>
          <w:rFonts w:ascii="Arial" w:hAnsi="Arial" w:cs="Arial"/>
          <w:i/>
          <w:iCs/>
          <w:sz w:val="21"/>
          <w:szCs w:val="21"/>
        </w:rPr>
        <w:t>Según lo señalado en el Decreto 572 del 22 de diciembre de 2015, se procedió a citar a visita certificación de hechos para el día 18 de noviembre de 2025 a las 9:00 a.m. horas, la cual se comunicó mediante oficio 2-2025-72570 del 6 de noviembre de 2025 y recibido por la portería de EDIFICIO MULTIFAMILIAR ESPACIO 140 el 7 de noviembre de 2025 en el edificio y/o proyecto del quejoso, lo cual consta en consta en la guía de correspondencia como se acredita en el expediente de la queja.</w:t>
      </w:r>
    </w:p>
    <w:p w14:paraId="6EF42EB2" w14:textId="77777777" w:rsidR="0027154E" w:rsidRPr="009D1F78" w:rsidRDefault="0027154E" w:rsidP="0027154E">
      <w:pPr>
        <w:pStyle w:val="p1"/>
        <w:ind w:left="680" w:right="680"/>
        <w:jc w:val="both"/>
        <w:rPr>
          <w:rFonts w:ascii="Arial" w:hAnsi="Arial" w:cs="Arial"/>
          <w:i/>
          <w:iCs/>
          <w:sz w:val="21"/>
          <w:szCs w:val="21"/>
        </w:rPr>
      </w:pPr>
    </w:p>
    <w:p w14:paraId="28B06856" w14:textId="77777777" w:rsidR="0027154E" w:rsidRPr="009D1F78" w:rsidRDefault="0027154E" w:rsidP="0027154E">
      <w:pPr>
        <w:pStyle w:val="p1"/>
        <w:ind w:left="680" w:right="680"/>
        <w:jc w:val="both"/>
        <w:rPr>
          <w:rFonts w:ascii="Arial" w:hAnsi="Arial" w:cs="Arial"/>
          <w:i/>
          <w:iCs/>
          <w:sz w:val="21"/>
          <w:szCs w:val="21"/>
        </w:rPr>
      </w:pPr>
      <w:r w:rsidRPr="009D1F78">
        <w:rPr>
          <w:rStyle w:val="s1"/>
          <w:rFonts w:ascii="Arial" w:hAnsi="Arial" w:cs="Arial"/>
          <w:i/>
          <w:iCs/>
          <w:sz w:val="21"/>
          <w:szCs w:val="21"/>
        </w:rPr>
        <w:t>Se requirió al quejoso mediante radicado No. 2-2025-75804 del 20 de noviembre de 2025, para que manifestara los motivos de la inasistencia, para lo cual se dieron diez (10) días para responder, a la fecha del presente informe NO ha sido recibida dicha respuesta.”</w:t>
      </w:r>
    </w:p>
    <w:p w14:paraId="5F7EB59E" w14:textId="77777777" w:rsidR="0027154E" w:rsidRPr="0027154E" w:rsidRDefault="0027154E">
      <w:pPr>
        <w:widowControl w:val="0"/>
        <w:spacing w:after="160"/>
        <w:jc w:val="both"/>
        <w:rPr>
          <w:rFonts w:ascii="Arial" w:eastAsia="Arial" w:hAnsi="Arial" w:cs="Arial"/>
          <w:sz w:val="22"/>
          <w:szCs w:val="22"/>
          <w:lang w:val="es-CO"/>
        </w:rPr>
      </w:pPr>
    </w:p>
    <w:p w14:paraId="06EE68DA" w14:textId="4A42BF0C" w:rsidR="009F4149" w:rsidRDefault="009D1F78">
      <w:pPr>
        <w:widowControl w:val="0"/>
        <w:spacing w:after="160"/>
        <w:jc w:val="both"/>
        <w:rPr>
          <w:rFonts w:ascii="Arial" w:eastAsia="Arial" w:hAnsi="Arial" w:cs="Arial"/>
          <w:sz w:val="22"/>
          <w:szCs w:val="22"/>
        </w:rPr>
      </w:pPr>
      <w:r>
        <w:rPr>
          <w:rFonts w:ascii="Arial" w:eastAsia="Arial" w:hAnsi="Arial" w:cs="Arial"/>
          <w:sz w:val="22"/>
          <w:szCs w:val="22"/>
        </w:rPr>
        <w:t xml:space="preserve">Nótese que frente a dichos requerimientos la parte quejosa ha guardo total silencio, por lo que cabe recordar </w:t>
      </w:r>
      <w:r w:rsidR="00FE6B9D">
        <w:rPr>
          <w:rFonts w:ascii="Arial" w:eastAsia="Arial" w:hAnsi="Arial" w:cs="Arial"/>
          <w:sz w:val="22"/>
          <w:szCs w:val="22"/>
        </w:rPr>
        <w:t xml:space="preserve">que, conforme al artículo 3º del Código de Procedimiento Administrativo </w:t>
      </w:r>
      <w:r w:rsidR="00FE6B9D">
        <w:rPr>
          <w:rFonts w:ascii="Arial" w:eastAsia="Arial" w:hAnsi="Arial" w:cs="Arial"/>
          <w:sz w:val="22"/>
          <w:szCs w:val="22"/>
        </w:rPr>
        <w:lastRenderedPageBreak/>
        <w:t>y de lo Contencioso Administrativo y al artículo 167 del Código General del Proceso, la carga de la prueba en sede administrativa se distribuye dinámicamente entre las partes, en virtud del deber de colaboración y de buena fe, por lo que el ciudadano no puede permanecer pasivo frente a las solicitudes de la autoridad, especialmente cuando estas buscan garantizar sus propios derechos.</w:t>
      </w:r>
    </w:p>
    <w:p w14:paraId="33AD4877" w14:textId="77777777" w:rsidR="009D1F78" w:rsidRDefault="009D1F78" w:rsidP="009D1F78">
      <w:pPr>
        <w:shd w:val="clear" w:color="auto" w:fill="FFFFFF"/>
        <w:jc w:val="both"/>
        <w:rPr>
          <w:rFonts w:ascii="Arial" w:hAnsi="Arial" w:cs="Arial"/>
          <w:bCs/>
          <w:sz w:val="22"/>
          <w:szCs w:val="22"/>
        </w:rPr>
      </w:pPr>
      <w:r w:rsidRPr="008A04B8">
        <w:rPr>
          <w:rFonts w:ascii="Arial" w:hAnsi="Arial" w:cs="Arial"/>
          <w:bCs/>
          <w:sz w:val="22"/>
          <w:szCs w:val="22"/>
        </w:rPr>
        <w:t>Por lo mencionado, este Despacho encuentra que, si bien es cierto, la obligación de la sociedad enajenadora es la de subsanar los hechos materia de orden de hacer, dicha obligación queda relevada cuando la deficiencia constructiva, es imposible de verificar por la omisión del quejoso, en asistir y pronunciase, frente a los requerimientos de este Despacho</w:t>
      </w:r>
      <w:r>
        <w:rPr>
          <w:rFonts w:ascii="Arial" w:hAnsi="Arial" w:cs="Arial"/>
          <w:bCs/>
          <w:sz w:val="22"/>
          <w:szCs w:val="22"/>
        </w:rPr>
        <w:t xml:space="preserve">. En efecto, de </w:t>
      </w:r>
      <w:r w:rsidRPr="00F452B3">
        <w:rPr>
          <w:rFonts w:ascii="Arial" w:hAnsi="Arial" w:cs="Arial"/>
          <w:bCs/>
          <w:sz w:val="22"/>
          <w:szCs w:val="22"/>
        </w:rPr>
        <w:t xml:space="preserve">conformidad con el artículo 209 de la Constitución Política, </w:t>
      </w:r>
      <w:r w:rsidRPr="00056F5D">
        <w:rPr>
          <w:rFonts w:ascii="Arial" w:hAnsi="Arial" w:cs="Arial"/>
          <w:bCs/>
          <w:sz w:val="22"/>
          <w:szCs w:val="22"/>
        </w:rPr>
        <w:t>la función administrativa debe desarrollarse bajo los principios de eficacia, economía y celeridad, razón por la cual no resulta procedente mantener abierta una actuación que, por la falta de colaboración del interesado, deviene materialmente imposible de continuar. Pretender la verificación de hechos sin su participación equivaldría a desconocer tales principios y prolongar indebidamente un trámite sin objeto verificable.</w:t>
      </w:r>
    </w:p>
    <w:p w14:paraId="19C1BFB2" w14:textId="77777777" w:rsidR="009D1F78" w:rsidRPr="008A04B8" w:rsidRDefault="009D1F78" w:rsidP="009D1F78">
      <w:pPr>
        <w:shd w:val="clear" w:color="auto" w:fill="FFFFFF"/>
        <w:jc w:val="both"/>
        <w:rPr>
          <w:rFonts w:ascii="Arial" w:hAnsi="Arial" w:cs="Arial"/>
          <w:bCs/>
          <w:sz w:val="22"/>
          <w:szCs w:val="22"/>
        </w:rPr>
      </w:pPr>
    </w:p>
    <w:p w14:paraId="38E3C790" w14:textId="77777777" w:rsidR="009D1F78" w:rsidRPr="008A04B8" w:rsidRDefault="009D1F78" w:rsidP="009D1F78">
      <w:pPr>
        <w:shd w:val="clear" w:color="auto" w:fill="FFFFFF"/>
        <w:jc w:val="both"/>
        <w:rPr>
          <w:rFonts w:ascii="Arial" w:hAnsi="Arial" w:cs="Arial"/>
          <w:bCs/>
          <w:sz w:val="22"/>
          <w:szCs w:val="22"/>
          <w:lang w:val="es-CO"/>
        </w:rPr>
      </w:pPr>
      <w:r w:rsidRPr="008A04B8">
        <w:rPr>
          <w:rFonts w:ascii="Arial" w:hAnsi="Arial" w:cs="Arial"/>
          <w:bCs/>
          <w:sz w:val="22"/>
          <w:szCs w:val="22"/>
          <w:lang w:val="es-CO"/>
        </w:rPr>
        <w:t xml:space="preserve">En ese orden de ideas, es pertinente hacer referencia al deber de colaboración de los Ciudadanos para el cumplimiento de las órdenes administrativas, al respecto, nuestro ordenamiento jurídico establece: -Numeral 7 del Artículo 95 de la constitución política de Colombia: “Colaborar para el buen funcionamiento de la administración de la justicia”. -Consejo de Estado, Sección tercera, Subsección C, Radicación número: 08001-23-31-000- 1997-13135- 01(32207): “Observa la Sala que según el artículo 95.7 de la Constitución Política es un deber de la persona y del ciudadano colaborar para el buen funcionamiento de la administración de la justicia”. </w:t>
      </w:r>
    </w:p>
    <w:p w14:paraId="156BA61F" w14:textId="77777777" w:rsidR="009D1F78" w:rsidRPr="008A04B8" w:rsidRDefault="009D1F78" w:rsidP="009D1F78">
      <w:pPr>
        <w:shd w:val="clear" w:color="auto" w:fill="FFFFFF"/>
        <w:jc w:val="both"/>
        <w:rPr>
          <w:rFonts w:ascii="Arial" w:hAnsi="Arial" w:cs="Arial"/>
          <w:bCs/>
          <w:sz w:val="22"/>
          <w:szCs w:val="22"/>
          <w:lang w:val="es-CO"/>
        </w:rPr>
      </w:pPr>
    </w:p>
    <w:p w14:paraId="5DD0BFB0" w14:textId="77777777" w:rsidR="009D1F78" w:rsidRPr="008A04B8" w:rsidRDefault="009D1F78" w:rsidP="009D1F78">
      <w:pPr>
        <w:shd w:val="clear" w:color="auto" w:fill="FFFFFF"/>
        <w:jc w:val="both"/>
        <w:rPr>
          <w:rFonts w:ascii="Arial" w:hAnsi="Arial" w:cs="Arial"/>
          <w:b/>
          <w:sz w:val="22"/>
          <w:szCs w:val="22"/>
          <w:lang w:val="es-CO"/>
        </w:rPr>
      </w:pPr>
      <w:r w:rsidRPr="008A04B8">
        <w:rPr>
          <w:rFonts w:ascii="Arial" w:hAnsi="Arial" w:cs="Arial"/>
          <w:bCs/>
          <w:sz w:val="22"/>
          <w:szCs w:val="22"/>
          <w:lang w:val="es-CO"/>
        </w:rPr>
        <w:t>Por otro lado, cabe mencionar que es claro para esta entidad, que es una obligación de la constructora corregir las deficiencias de las construcciones de las viviendas enajenadas y cumplir con las condiciones de calidad, adoptando las condiciones técnicas señaladas en la normatividad, estas obras o reparaciones deben ser autorizadas por el quejoso y/o quien se vea afectado. No obstante, de conformidad con lo expuesto en líneas anteriores, este Despacho considera que nos encontramos frente a un caso de imposibilidad para dar cumplimiento a lo ordenado.</w:t>
      </w:r>
    </w:p>
    <w:p w14:paraId="2C56A745" w14:textId="77777777" w:rsidR="009D1F78" w:rsidRPr="008A04B8" w:rsidRDefault="009D1F78" w:rsidP="009D1F78">
      <w:pPr>
        <w:shd w:val="clear" w:color="auto" w:fill="FFFFFF"/>
        <w:jc w:val="both"/>
        <w:rPr>
          <w:rFonts w:ascii="Arial" w:hAnsi="Arial" w:cs="Arial"/>
          <w:bCs/>
          <w:sz w:val="22"/>
          <w:szCs w:val="22"/>
          <w:lang w:val="es-CO"/>
        </w:rPr>
      </w:pPr>
    </w:p>
    <w:p w14:paraId="135BBDDD" w14:textId="1EE74C81" w:rsidR="009D1F78" w:rsidRPr="008A04B8" w:rsidRDefault="009D1F78" w:rsidP="009D1F78">
      <w:pPr>
        <w:jc w:val="both"/>
        <w:rPr>
          <w:rFonts w:ascii="Arial" w:hAnsi="Arial" w:cs="Arial"/>
          <w:bCs/>
          <w:i/>
          <w:sz w:val="22"/>
          <w:szCs w:val="22"/>
        </w:rPr>
      </w:pPr>
      <w:r w:rsidRPr="008A04B8">
        <w:rPr>
          <w:rFonts w:ascii="Arial" w:hAnsi="Arial" w:cs="Arial"/>
          <w:bCs/>
          <w:sz w:val="22"/>
          <w:szCs w:val="22"/>
        </w:rPr>
        <w:t xml:space="preserve">Así las cosas, este Despacho, ante la renuencia del quejoso, no está obligado a continuar con la verificación de la orden de hacer ante la imposibilidad material para la Administración para dar cumplimiento a sus funciones, y en este caso puntual, lograr hacer el seguimiento a la orden mediante los mecanismos probatorios con que cuenta este Despacho, los cuales no han sido atendidos por el quejoso, y puesto que los hechos objeto de queja corresponden a zonas comunes, la no atención por parte de ésta a las solicitudes realizadas por este Despacho, imposibilita la subsanación de los hechos objeto de orden por parte de la enajenadora, contenida en la </w:t>
      </w:r>
      <w:r w:rsidRPr="008A04B8">
        <w:rPr>
          <w:rFonts w:ascii="Arial" w:hAnsi="Arial" w:cs="Arial"/>
          <w:sz w:val="22"/>
          <w:szCs w:val="22"/>
        </w:rPr>
        <w:t xml:space="preserve">Resolución No. </w:t>
      </w:r>
      <w:r>
        <w:rPr>
          <w:rFonts w:ascii="Arial" w:hAnsi="Arial" w:cs="Arial"/>
          <w:sz w:val="22"/>
          <w:szCs w:val="22"/>
        </w:rPr>
        <w:t>309 del 03 de mayo de 2021</w:t>
      </w:r>
      <w:r w:rsidRPr="008A04B8">
        <w:rPr>
          <w:rFonts w:ascii="Arial" w:hAnsi="Arial" w:cs="Arial"/>
          <w:sz w:val="22"/>
          <w:szCs w:val="22"/>
        </w:rPr>
        <w:t xml:space="preserve">, </w:t>
      </w:r>
      <w:r w:rsidRPr="008A04B8">
        <w:rPr>
          <w:rFonts w:ascii="Arial" w:hAnsi="Arial" w:cs="Arial"/>
          <w:i/>
          <w:sz w:val="22"/>
          <w:szCs w:val="22"/>
        </w:rPr>
        <w:t>“Por el cual se impone una sanción y se imparte una orden”</w:t>
      </w:r>
      <w:r w:rsidRPr="008A04B8">
        <w:rPr>
          <w:rFonts w:ascii="Arial" w:hAnsi="Arial" w:cs="Arial"/>
          <w:bCs/>
          <w:sz w:val="22"/>
          <w:szCs w:val="22"/>
        </w:rPr>
        <w:t>.</w:t>
      </w:r>
    </w:p>
    <w:p w14:paraId="418F78D0" w14:textId="77777777" w:rsidR="009D1F78" w:rsidRPr="008A04B8" w:rsidRDefault="009D1F78" w:rsidP="009D1F78">
      <w:pPr>
        <w:shd w:val="clear" w:color="auto" w:fill="FFFFFF"/>
        <w:jc w:val="both"/>
        <w:rPr>
          <w:rFonts w:ascii="Arial" w:hAnsi="Arial" w:cs="Arial"/>
          <w:sz w:val="22"/>
          <w:szCs w:val="22"/>
        </w:rPr>
      </w:pPr>
    </w:p>
    <w:p w14:paraId="122BCF59" w14:textId="19B30B8F" w:rsidR="009D1F78" w:rsidRPr="008A04B8" w:rsidRDefault="009D1F78" w:rsidP="009D1F78">
      <w:pPr>
        <w:jc w:val="both"/>
        <w:rPr>
          <w:rFonts w:ascii="Arial" w:hAnsi="Arial" w:cs="Arial"/>
          <w:iCs/>
          <w:sz w:val="22"/>
          <w:szCs w:val="22"/>
        </w:rPr>
      </w:pPr>
      <w:r w:rsidRPr="008A04B8">
        <w:rPr>
          <w:rFonts w:ascii="Arial" w:hAnsi="Arial" w:cs="Arial"/>
          <w:sz w:val="22"/>
          <w:szCs w:val="22"/>
        </w:rPr>
        <w:t xml:space="preserve">Por otro lado, es preciso señalar que en cada una de las actuaciones adelantadas se le han dado todas las garantías tanto al enajenador como a la parte querellante en el transcurso </w:t>
      </w:r>
      <w:r w:rsidRPr="008A04B8">
        <w:rPr>
          <w:rFonts w:ascii="Arial" w:hAnsi="Arial" w:cs="Arial"/>
          <w:sz w:val="22"/>
          <w:szCs w:val="22"/>
        </w:rPr>
        <w:lastRenderedPageBreak/>
        <w:t>de la investigación, respetando el debido proceso (Art. 29 de la C.N.), el cual debe ser observado en todo tipo de actuaciones administrativas; para una mayor claridad al respecto la Corte Constitucional ha expuesto en numerosas jurisprudencias el alcance del principio constitucional del debido proceso</w:t>
      </w:r>
      <w:r>
        <w:rPr>
          <w:rFonts w:ascii="Arial" w:hAnsi="Arial" w:cs="Arial"/>
          <w:sz w:val="22"/>
          <w:szCs w:val="22"/>
        </w:rPr>
        <w:t xml:space="preserve">. </w:t>
      </w:r>
    </w:p>
    <w:p w14:paraId="35BE33F8" w14:textId="77777777" w:rsidR="009D1F78" w:rsidRPr="008A04B8" w:rsidRDefault="009D1F78" w:rsidP="009D1F78">
      <w:pPr>
        <w:shd w:val="clear" w:color="auto" w:fill="FFFFFF"/>
        <w:jc w:val="both"/>
        <w:rPr>
          <w:rFonts w:ascii="Arial" w:hAnsi="Arial" w:cs="Arial"/>
          <w:sz w:val="22"/>
          <w:szCs w:val="22"/>
        </w:rPr>
      </w:pPr>
    </w:p>
    <w:p w14:paraId="5CDC7221" w14:textId="39CAA666" w:rsidR="009D1F78" w:rsidRPr="008A04B8" w:rsidRDefault="009D1F78" w:rsidP="009D1F78">
      <w:pPr>
        <w:shd w:val="clear" w:color="auto" w:fill="FFFFFF"/>
        <w:jc w:val="both"/>
        <w:rPr>
          <w:rFonts w:ascii="Arial" w:hAnsi="Arial" w:cs="Arial"/>
          <w:sz w:val="22"/>
          <w:szCs w:val="22"/>
        </w:rPr>
      </w:pPr>
      <w:r w:rsidRPr="008A04B8">
        <w:rPr>
          <w:rFonts w:ascii="Arial" w:hAnsi="Arial" w:cs="Arial"/>
          <w:sz w:val="22"/>
          <w:szCs w:val="22"/>
        </w:rPr>
        <w:t xml:space="preserve">En efecto, para que esta Subdirección proceda a eliminar o eximir a un vigilado del cumplimiento de una orden de hacer en virtud a la falta de colaboración por parte del quejoso aun a sabiendas de que su silencio era causal de entenderse por cumplida la orden de acuerdo tal y como se manifestó en el </w:t>
      </w:r>
      <w:r w:rsidRPr="009D1F78">
        <w:rPr>
          <w:rFonts w:ascii="Arial" w:hAnsi="Arial" w:cs="Arial"/>
          <w:sz w:val="22"/>
          <w:szCs w:val="22"/>
        </w:rPr>
        <w:t xml:space="preserve">radicado </w:t>
      </w:r>
      <w:r w:rsidRPr="009D1F78">
        <w:rPr>
          <w:rStyle w:val="s1"/>
          <w:sz w:val="22"/>
          <w:szCs w:val="22"/>
        </w:rPr>
        <w:t>2-2025-75804 del 20 de noviembre de 2025</w:t>
      </w:r>
      <w:r w:rsidRPr="009D1F78">
        <w:rPr>
          <w:rFonts w:ascii="Arial" w:hAnsi="Arial" w:cs="Arial"/>
          <w:sz w:val="22"/>
          <w:szCs w:val="22"/>
        </w:rPr>
        <w:t xml:space="preserve">, </w:t>
      </w:r>
      <w:r w:rsidRPr="008A04B8">
        <w:rPr>
          <w:rFonts w:ascii="Arial" w:hAnsi="Arial" w:cs="Arial"/>
          <w:sz w:val="22"/>
          <w:szCs w:val="22"/>
        </w:rPr>
        <w:t xml:space="preserve">que refirió lo siguiente: solicito a la parte quejosa informaran los motivos de su inasistencia en el término de </w:t>
      </w:r>
      <w:r>
        <w:rPr>
          <w:rFonts w:ascii="Arial" w:hAnsi="Arial" w:cs="Arial"/>
          <w:sz w:val="22"/>
          <w:szCs w:val="22"/>
        </w:rPr>
        <w:t xml:space="preserve">diez </w:t>
      </w:r>
      <w:r w:rsidRPr="008A04B8">
        <w:rPr>
          <w:rFonts w:ascii="Arial" w:hAnsi="Arial" w:cs="Arial"/>
          <w:sz w:val="22"/>
          <w:szCs w:val="22"/>
        </w:rPr>
        <w:t>(1</w:t>
      </w:r>
      <w:r>
        <w:rPr>
          <w:rFonts w:ascii="Arial" w:hAnsi="Arial" w:cs="Arial"/>
          <w:sz w:val="22"/>
          <w:szCs w:val="22"/>
        </w:rPr>
        <w:t>0</w:t>
      </w:r>
      <w:r w:rsidRPr="008A04B8">
        <w:rPr>
          <w:rFonts w:ascii="Arial" w:hAnsi="Arial" w:cs="Arial"/>
          <w:sz w:val="22"/>
          <w:szCs w:val="22"/>
        </w:rPr>
        <w:t>)</w:t>
      </w:r>
      <w:r>
        <w:rPr>
          <w:rFonts w:ascii="Arial" w:hAnsi="Arial" w:cs="Arial"/>
          <w:sz w:val="22"/>
          <w:szCs w:val="22"/>
        </w:rPr>
        <w:t xml:space="preserve"> días</w:t>
      </w:r>
      <w:r w:rsidRPr="008A04B8">
        <w:rPr>
          <w:rFonts w:ascii="Arial" w:hAnsi="Arial" w:cs="Arial"/>
          <w:sz w:val="22"/>
          <w:szCs w:val="22"/>
        </w:rPr>
        <w:t>, en caso de no hacerlo se entendería por cumplida la orden, requerimiento del cual no se recibió respuesta alguna luego de ser notificado, y aun así guardo silencio.</w:t>
      </w:r>
    </w:p>
    <w:p w14:paraId="10134F4E" w14:textId="77777777" w:rsidR="009D1F78" w:rsidRDefault="009D1F78" w:rsidP="009D1F78">
      <w:pPr>
        <w:shd w:val="clear" w:color="auto" w:fill="FFFFFF"/>
        <w:jc w:val="both"/>
        <w:rPr>
          <w:rFonts w:ascii="Arial" w:hAnsi="Arial" w:cs="Arial"/>
          <w:sz w:val="22"/>
          <w:szCs w:val="22"/>
        </w:rPr>
      </w:pPr>
    </w:p>
    <w:p w14:paraId="4FD62BB7" w14:textId="77777777" w:rsidR="009D1F78" w:rsidRDefault="009D1F78" w:rsidP="009D1F78">
      <w:pPr>
        <w:shd w:val="clear" w:color="auto" w:fill="FFFFFF"/>
        <w:jc w:val="both"/>
        <w:rPr>
          <w:rFonts w:ascii="Arial" w:eastAsiaTheme="minorHAnsi" w:hAnsi="Arial" w:cs="Arial"/>
          <w:sz w:val="22"/>
          <w:szCs w:val="22"/>
        </w:rPr>
      </w:pPr>
      <w:r w:rsidRPr="00A76F6B">
        <w:rPr>
          <w:rFonts w:ascii="Arial" w:eastAsiaTheme="minorHAnsi" w:hAnsi="Arial" w:cs="Arial"/>
          <w:sz w:val="22"/>
          <w:szCs w:val="22"/>
        </w:rPr>
        <w:t>Debe recordarse que, conforme al artículo 3º del Código de Procedimiento Administrativo y de lo Contencioso Administrativo y al artículo 167 del Código General del Proceso, la carga de la prueba en sede administrativa se distribuye dinámicamente entre las partes, en virtud del deber de colaboración y de buena fe, por lo que el ciudadano no puede permanecer pasivo frente a las solicitudes de la autoridad, especialmente cuando estas buscan garantizar sus propios derechos.</w:t>
      </w:r>
    </w:p>
    <w:p w14:paraId="6657F727" w14:textId="77777777" w:rsidR="009D1F78" w:rsidRPr="008A04B8" w:rsidRDefault="009D1F78" w:rsidP="009D1F78">
      <w:pPr>
        <w:shd w:val="clear" w:color="auto" w:fill="FFFFFF"/>
        <w:jc w:val="both"/>
        <w:rPr>
          <w:rFonts w:ascii="Arial" w:hAnsi="Arial" w:cs="Arial"/>
          <w:sz w:val="22"/>
          <w:szCs w:val="22"/>
        </w:rPr>
      </w:pPr>
    </w:p>
    <w:p w14:paraId="5D325988" w14:textId="418F13CF" w:rsidR="009D1F78" w:rsidRDefault="009D1F78" w:rsidP="009D1F78">
      <w:pPr>
        <w:shd w:val="clear" w:color="auto" w:fill="FFFFFF"/>
        <w:jc w:val="both"/>
        <w:rPr>
          <w:rFonts w:ascii="Arial" w:hAnsi="Arial" w:cs="Arial"/>
          <w:sz w:val="22"/>
          <w:szCs w:val="22"/>
        </w:rPr>
      </w:pPr>
      <w:r w:rsidRPr="008A04B8">
        <w:rPr>
          <w:rFonts w:ascii="Arial" w:hAnsi="Arial" w:cs="Arial"/>
          <w:sz w:val="22"/>
          <w:szCs w:val="22"/>
        </w:rPr>
        <w:t>Visto lo anterior, en aplicación del principio de la buena fe y la valoración conjunta de las afirmaciones y soportes allegados al plenario, aplicando un razonamiento lógico, equitativo y de la experiencia como juicios de valor generales y relativos sobre la verdad, es decir bajo las reglas de la “sana crítica”, no queda otro camino que el de culminar el proceso que acá nos atañe</w:t>
      </w:r>
      <w:r>
        <w:rPr>
          <w:rFonts w:ascii="Arial" w:hAnsi="Arial" w:cs="Arial"/>
          <w:sz w:val="22"/>
          <w:szCs w:val="22"/>
        </w:rPr>
        <w:t xml:space="preserve"> </w:t>
      </w:r>
      <w:r w:rsidRPr="007538BD">
        <w:rPr>
          <w:rFonts w:ascii="Arial" w:hAnsi="Arial" w:cs="Arial"/>
          <w:sz w:val="22"/>
          <w:szCs w:val="22"/>
        </w:rPr>
        <w:t xml:space="preserve">habiéndose agotado los mecanismos de verificación y no existiendo elementos que permitan continuar con la actuación por causas atribuibles al silencio del quejoso, no sin antes recordarle a la enajenadora </w:t>
      </w:r>
      <w:r w:rsidRPr="007D3063">
        <w:rPr>
          <w:rFonts w:ascii="Arial" w:eastAsia="Arial" w:hAnsi="Arial" w:cs="Arial"/>
          <w:sz w:val="24"/>
          <w:szCs w:val="24"/>
          <w:highlight w:val="white"/>
        </w:rPr>
        <w:t>HHC PENÍNSULA 140 S.A.S - EN LIQUIDACIÓN</w:t>
      </w:r>
      <w:r w:rsidRPr="007538BD">
        <w:rPr>
          <w:rFonts w:ascii="Arial" w:hAnsi="Arial" w:cs="Arial"/>
          <w:sz w:val="22"/>
          <w:szCs w:val="22"/>
          <w:shd w:val="clear" w:color="auto" w:fill="FFFFFF"/>
        </w:rPr>
        <w:t>,</w:t>
      </w:r>
      <w:r w:rsidRPr="007538BD">
        <w:rPr>
          <w:rFonts w:ascii="Arial" w:hAnsi="Arial" w:cs="Arial"/>
          <w:sz w:val="22"/>
          <w:szCs w:val="22"/>
        </w:rPr>
        <w:t xml:space="preserve"> la importancia de dar cumplimiento a las obligaciones señaladas en la norma y a las órdenes emitidas por este</w:t>
      </w:r>
      <w:r>
        <w:rPr>
          <w:rFonts w:ascii="Arial" w:hAnsi="Arial" w:cs="Arial"/>
          <w:sz w:val="22"/>
          <w:szCs w:val="22"/>
        </w:rPr>
        <w:t xml:space="preserve"> </w:t>
      </w:r>
      <w:r w:rsidRPr="007538BD">
        <w:rPr>
          <w:rFonts w:ascii="Arial" w:hAnsi="Arial" w:cs="Arial"/>
          <w:sz w:val="22"/>
          <w:szCs w:val="22"/>
        </w:rPr>
        <w:t>Despacho, así como al quejoso el deber de colaboración con las actuaciones necesarias para la verificación y cumplimiento de dichas órdenes.</w:t>
      </w:r>
    </w:p>
    <w:p w14:paraId="272FAFA4" w14:textId="77777777" w:rsidR="009D1F78" w:rsidRDefault="009D1F78" w:rsidP="009D1F78">
      <w:pPr>
        <w:shd w:val="clear" w:color="auto" w:fill="FFFFFF"/>
        <w:jc w:val="both"/>
        <w:rPr>
          <w:rFonts w:ascii="Arial" w:hAnsi="Arial" w:cs="Arial"/>
          <w:sz w:val="22"/>
          <w:szCs w:val="22"/>
        </w:rPr>
      </w:pPr>
    </w:p>
    <w:p w14:paraId="06EE68DC" w14:textId="6FA1A479" w:rsidR="009F4149" w:rsidRPr="009D1F78" w:rsidRDefault="00FE6B9D" w:rsidP="009D1F78">
      <w:pPr>
        <w:shd w:val="clear" w:color="auto" w:fill="FFFFFF"/>
        <w:jc w:val="both"/>
        <w:rPr>
          <w:rFonts w:ascii="Arial" w:hAnsi="Arial" w:cs="Arial"/>
          <w:sz w:val="22"/>
          <w:szCs w:val="22"/>
        </w:rPr>
      </w:pPr>
      <w:r>
        <w:rPr>
          <w:rFonts w:ascii="Arial" w:eastAsia="Arial" w:hAnsi="Arial" w:cs="Arial"/>
          <w:sz w:val="22"/>
          <w:szCs w:val="22"/>
        </w:rPr>
        <w:t xml:space="preserve">En consecuencia, por las razones que se acaban de señalar, y en ejercicio de las facultades de Inspección, Vigilancia y Control respecto a los enajenadores de vivienda, concernientes a este Despacho, </w:t>
      </w:r>
      <w:r w:rsidRPr="00906439">
        <w:rPr>
          <w:rFonts w:ascii="Arial" w:eastAsia="Arial" w:hAnsi="Arial" w:cs="Arial"/>
          <w:sz w:val="22"/>
          <w:szCs w:val="22"/>
        </w:rPr>
        <w:t>no es procedente continuar adelantando las actuaciones administrativas relacionadas con la verificación de la orden establecida en la Resolución No. 309 del 03 de mayo de 2021, “Por la cual se impone una sanción y se imparte una orden”, por lo que, de conformidad con las razones antes expuestas, se dará por terminada la presente actuación</w:t>
      </w:r>
    </w:p>
    <w:p w14:paraId="06EE68DD" w14:textId="77777777" w:rsidR="009F4149" w:rsidRPr="007D3063" w:rsidRDefault="00FE6B9D">
      <w:pPr>
        <w:widowControl w:val="0"/>
        <w:spacing w:after="160"/>
        <w:jc w:val="both"/>
        <w:rPr>
          <w:rFonts w:ascii="Arial" w:eastAsia="Arial" w:hAnsi="Arial" w:cs="Arial"/>
          <w:sz w:val="22"/>
          <w:szCs w:val="22"/>
        </w:rPr>
      </w:pPr>
      <w:r w:rsidRPr="00906439">
        <w:rPr>
          <w:rFonts w:ascii="Arial" w:eastAsia="Arial" w:hAnsi="Arial" w:cs="Arial"/>
          <w:sz w:val="22"/>
          <w:szCs w:val="22"/>
        </w:rPr>
        <w:t xml:space="preserve">En mérito de lo </w:t>
      </w:r>
      <w:r w:rsidRPr="007D3063">
        <w:rPr>
          <w:rFonts w:ascii="Arial" w:eastAsia="Arial" w:hAnsi="Arial" w:cs="Arial"/>
          <w:sz w:val="22"/>
          <w:szCs w:val="22"/>
        </w:rPr>
        <w:t>expuesto, este Despacho,</w:t>
      </w:r>
    </w:p>
    <w:p w14:paraId="06EE68DE" w14:textId="77777777" w:rsidR="009F4149" w:rsidRPr="007D3063" w:rsidRDefault="009F4149">
      <w:pPr>
        <w:widowControl w:val="0"/>
        <w:jc w:val="both"/>
        <w:rPr>
          <w:rFonts w:ascii="Arial" w:eastAsia="Arial" w:hAnsi="Arial" w:cs="Arial"/>
          <w:sz w:val="22"/>
          <w:szCs w:val="22"/>
        </w:rPr>
      </w:pPr>
    </w:p>
    <w:p w14:paraId="06EE68DF" w14:textId="77777777" w:rsidR="009F4149" w:rsidRPr="007D3063" w:rsidRDefault="00FE6B9D">
      <w:pPr>
        <w:widowControl w:val="0"/>
        <w:jc w:val="center"/>
        <w:rPr>
          <w:rFonts w:ascii="Arial" w:eastAsia="Arial" w:hAnsi="Arial" w:cs="Arial"/>
          <w:b/>
          <w:bCs/>
          <w:sz w:val="22"/>
          <w:szCs w:val="22"/>
        </w:rPr>
      </w:pPr>
      <w:r w:rsidRPr="007D3063">
        <w:rPr>
          <w:rFonts w:ascii="Arial" w:eastAsia="Arial" w:hAnsi="Arial" w:cs="Arial"/>
          <w:b/>
          <w:bCs/>
          <w:sz w:val="22"/>
          <w:szCs w:val="22"/>
        </w:rPr>
        <w:t>RESUELVE:</w:t>
      </w:r>
    </w:p>
    <w:p w14:paraId="06EE68E0" w14:textId="77777777" w:rsidR="009F4149" w:rsidRPr="007D3063" w:rsidRDefault="009F4149">
      <w:pPr>
        <w:widowControl w:val="0"/>
        <w:jc w:val="both"/>
        <w:rPr>
          <w:rFonts w:ascii="Arial" w:eastAsia="Arial" w:hAnsi="Arial" w:cs="Arial"/>
          <w:sz w:val="22"/>
          <w:szCs w:val="22"/>
        </w:rPr>
      </w:pPr>
    </w:p>
    <w:p w14:paraId="06EE68E1" w14:textId="28F7CBE2" w:rsidR="009F4149" w:rsidRPr="007D3063" w:rsidRDefault="00FE6B9D">
      <w:pPr>
        <w:widowControl w:val="0"/>
        <w:jc w:val="both"/>
        <w:rPr>
          <w:rFonts w:ascii="Arial" w:eastAsia="Arial" w:hAnsi="Arial" w:cs="Arial"/>
          <w:sz w:val="22"/>
          <w:szCs w:val="22"/>
        </w:rPr>
      </w:pPr>
      <w:r w:rsidRPr="007D3063">
        <w:rPr>
          <w:rFonts w:ascii="Arial" w:eastAsia="Arial" w:hAnsi="Arial" w:cs="Arial"/>
          <w:b/>
          <w:bCs/>
          <w:sz w:val="22"/>
          <w:szCs w:val="22"/>
        </w:rPr>
        <w:t>ARTÍCULO PRIMERO.</w:t>
      </w:r>
      <w:r w:rsidRPr="007D3063">
        <w:rPr>
          <w:rFonts w:ascii="Arial" w:eastAsia="Arial" w:hAnsi="Arial" w:cs="Arial"/>
          <w:sz w:val="22"/>
          <w:szCs w:val="22"/>
        </w:rPr>
        <w:t xml:space="preserve"> Declárase culminada la actuación administrativa relacionada con la verificación del cumplimiento de la orden de hacer impuesta a la sociedad enajenadora </w:t>
      </w:r>
      <w:r w:rsidRPr="007D3063">
        <w:rPr>
          <w:rFonts w:ascii="Arial" w:eastAsia="Arial" w:hAnsi="Arial" w:cs="Arial"/>
          <w:sz w:val="24"/>
          <w:szCs w:val="24"/>
          <w:highlight w:val="white"/>
        </w:rPr>
        <w:t>HHC PENÍNSULA 140 S</w:t>
      </w:r>
      <w:r w:rsidR="009B2ED0" w:rsidRPr="007D3063">
        <w:rPr>
          <w:rFonts w:ascii="Arial" w:eastAsia="Arial" w:hAnsi="Arial" w:cs="Arial"/>
          <w:sz w:val="24"/>
          <w:szCs w:val="24"/>
          <w:highlight w:val="white"/>
        </w:rPr>
        <w:t>.</w:t>
      </w:r>
      <w:r w:rsidRPr="007D3063">
        <w:rPr>
          <w:rFonts w:ascii="Arial" w:eastAsia="Arial" w:hAnsi="Arial" w:cs="Arial"/>
          <w:sz w:val="24"/>
          <w:szCs w:val="24"/>
          <w:highlight w:val="white"/>
        </w:rPr>
        <w:t>A</w:t>
      </w:r>
      <w:r w:rsidR="009B2ED0" w:rsidRPr="007D3063">
        <w:rPr>
          <w:rFonts w:ascii="Arial" w:eastAsia="Arial" w:hAnsi="Arial" w:cs="Arial"/>
          <w:sz w:val="24"/>
          <w:szCs w:val="24"/>
          <w:highlight w:val="white"/>
        </w:rPr>
        <w:t>.</w:t>
      </w:r>
      <w:r w:rsidRPr="007D3063">
        <w:rPr>
          <w:rFonts w:ascii="Arial" w:eastAsia="Arial" w:hAnsi="Arial" w:cs="Arial"/>
          <w:sz w:val="24"/>
          <w:szCs w:val="24"/>
          <w:highlight w:val="white"/>
        </w:rPr>
        <w:t xml:space="preserve">S </w:t>
      </w:r>
      <w:r w:rsidR="009B2ED0" w:rsidRPr="007D3063">
        <w:rPr>
          <w:rFonts w:ascii="Arial" w:eastAsia="Arial" w:hAnsi="Arial" w:cs="Arial"/>
          <w:sz w:val="24"/>
          <w:szCs w:val="24"/>
          <w:highlight w:val="white"/>
        </w:rPr>
        <w:t xml:space="preserve">- </w:t>
      </w:r>
      <w:r w:rsidRPr="007D3063">
        <w:rPr>
          <w:rFonts w:ascii="Arial" w:eastAsia="Arial" w:hAnsi="Arial" w:cs="Arial"/>
          <w:sz w:val="24"/>
          <w:szCs w:val="24"/>
          <w:highlight w:val="white"/>
        </w:rPr>
        <w:t>EN LIQUIDACIÓN</w:t>
      </w:r>
      <w:r w:rsidRPr="007D3063">
        <w:rPr>
          <w:rFonts w:ascii="Arial" w:eastAsia="Arial" w:hAnsi="Arial" w:cs="Arial"/>
          <w:sz w:val="24"/>
          <w:szCs w:val="24"/>
        </w:rPr>
        <w:t xml:space="preserve">, identificada con NIT. </w:t>
      </w:r>
      <w:r w:rsidRPr="007D3063">
        <w:rPr>
          <w:rFonts w:ascii="Arial" w:eastAsia="Arial" w:hAnsi="Arial" w:cs="Arial"/>
          <w:sz w:val="24"/>
          <w:szCs w:val="24"/>
        </w:rPr>
        <w:lastRenderedPageBreak/>
        <w:t xml:space="preserve">900.551.644-1, representada legalmente por la </w:t>
      </w:r>
      <w:r w:rsidR="007D3063" w:rsidRPr="007D3063">
        <w:rPr>
          <w:rFonts w:ascii="Arial" w:eastAsia="Arial" w:hAnsi="Arial" w:cs="Arial"/>
          <w:sz w:val="24"/>
          <w:szCs w:val="24"/>
        </w:rPr>
        <w:t>señora</w:t>
      </w:r>
      <w:r w:rsidR="000D2D47" w:rsidRPr="007D3063">
        <w:rPr>
          <w:rFonts w:ascii="Arial" w:eastAsia="Arial" w:hAnsi="Arial" w:cs="Arial"/>
          <w:sz w:val="22"/>
          <w:szCs w:val="22"/>
        </w:rPr>
        <w:t xml:space="preserve"> LEIDY JOHANNA SANABRIA VARGAS</w:t>
      </w:r>
      <w:r w:rsidRPr="007D3063">
        <w:rPr>
          <w:rFonts w:ascii="Arial" w:eastAsia="Arial" w:hAnsi="Arial" w:cs="Arial"/>
          <w:sz w:val="24"/>
          <w:szCs w:val="24"/>
        </w:rPr>
        <w:t xml:space="preserve"> </w:t>
      </w:r>
      <w:r w:rsidR="00D27AAB" w:rsidRPr="007D3063">
        <w:rPr>
          <w:rFonts w:ascii="Arial" w:eastAsia="Arial" w:hAnsi="Arial" w:cs="Arial"/>
          <w:sz w:val="24"/>
          <w:szCs w:val="24"/>
        </w:rPr>
        <w:t>(</w:t>
      </w:r>
      <w:r w:rsidRPr="007D3063">
        <w:rPr>
          <w:rFonts w:ascii="Arial" w:eastAsia="Arial" w:hAnsi="Arial" w:cs="Arial"/>
          <w:sz w:val="22"/>
          <w:szCs w:val="22"/>
        </w:rPr>
        <w:t>o quien haga sus veces), en la Resolución No. 309 del 03 de mayo de 2021 “</w:t>
      </w:r>
      <w:r w:rsidRPr="007D3063">
        <w:rPr>
          <w:rFonts w:ascii="Arial" w:eastAsia="Arial" w:hAnsi="Arial" w:cs="Arial"/>
          <w:i/>
          <w:iCs/>
          <w:sz w:val="22"/>
          <w:szCs w:val="22"/>
        </w:rPr>
        <w:t>Por la cual se impone una sanción y se imparte una orden</w:t>
      </w:r>
      <w:r w:rsidRPr="007D3063">
        <w:rPr>
          <w:rFonts w:ascii="Arial" w:eastAsia="Arial" w:hAnsi="Arial" w:cs="Arial"/>
          <w:sz w:val="22"/>
          <w:szCs w:val="22"/>
        </w:rPr>
        <w:t xml:space="preserve">”, por encontrarse plenamente cumplida y subsanados los hechos que dieron lugar a esta, de conformidad con las razones expuestas en la parte motiva del presente Acto Administrativo.  </w:t>
      </w:r>
    </w:p>
    <w:p w14:paraId="06EE68E2" w14:textId="77777777" w:rsidR="009F4149" w:rsidRPr="007D3063" w:rsidRDefault="009F4149">
      <w:pPr>
        <w:widowControl w:val="0"/>
        <w:jc w:val="both"/>
        <w:rPr>
          <w:rFonts w:ascii="Arial" w:eastAsia="Arial" w:hAnsi="Arial" w:cs="Arial"/>
          <w:b/>
          <w:bCs/>
          <w:sz w:val="22"/>
          <w:szCs w:val="22"/>
        </w:rPr>
      </w:pPr>
    </w:p>
    <w:p w14:paraId="06EE68E3" w14:textId="3B9F793B" w:rsidR="009F4149" w:rsidRPr="007D3063" w:rsidRDefault="00FE6B9D">
      <w:pPr>
        <w:widowControl w:val="0"/>
        <w:jc w:val="both"/>
        <w:rPr>
          <w:rFonts w:ascii="Arial" w:eastAsia="Arial" w:hAnsi="Arial" w:cs="Arial"/>
          <w:sz w:val="22"/>
          <w:szCs w:val="22"/>
        </w:rPr>
      </w:pPr>
      <w:r w:rsidRPr="007D3063">
        <w:rPr>
          <w:rFonts w:ascii="Arial" w:eastAsia="Arial" w:hAnsi="Arial" w:cs="Arial"/>
          <w:b/>
          <w:bCs/>
          <w:sz w:val="22"/>
          <w:szCs w:val="22"/>
        </w:rPr>
        <w:t>ARTÍCULO SEGUNDO.</w:t>
      </w:r>
      <w:r w:rsidRPr="007D3063">
        <w:rPr>
          <w:rFonts w:ascii="Arial" w:eastAsia="Arial" w:hAnsi="Arial" w:cs="Arial"/>
          <w:sz w:val="22"/>
          <w:szCs w:val="22"/>
        </w:rPr>
        <w:t xml:space="preserve"> Comunicar el contenido de la presente Resolución a la sociedad enajenadora HHC PENÍNSULA 140 S</w:t>
      </w:r>
      <w:r w:rsidR="00EB6017" w:rsidRPr="007D3063">
        <w:rPr>
          <w:rFonts w:ascii="Arial" w:eastAsia="Arial" w:hAnsi="Arial" w:cs="Arial"/>
          <w:sz w:val="22"/>
          <w:szCs w:val="22"/>
        </w:rPr>
        <w:t>.</w:t>
      </w:r>
      <w:r w:rsidRPr="007D3063">
        <w:rPr>
          <w:rFonts w:ascii="Arial" w:eastAsia="Arial" w:hAnsi="Arial" w:cs="Arial"/>
          <w:sz w:val="22"/>
          <w:szCs w:val="22"/>
        </w:rPr>
        <w:t>A</w:t>
      </w:r>
      <w:r w:rsidR="00EB6017" w:rsidRPr="007D3063">
        <w:rPr>
          <w:rFonts w:ascii="Arial" w:eastAsia="Arial" w:hAnsi="Arial" w:cs="Arial"/>
          <w:sz w:val="22"/>
          <w:szCs w:val="22"/>
        </w:rPr>
        <w:t>.</w:t>
      </w:r>
      <w:r w:rsidRPr="007D3063">
        <w:rPr>
          <w:rFonts w:ascii="Arial" w:eastAsia="Arial" w:hAnsi="Arial" w:cs="Arial"/>
          <w:sz w:val="22"/>
          <w:szCs w:val="22"/>
        </w:rPr>
        <w:t>S</w:t>
      </w:r>
      <w:r w:rsidR="00EB6017" w:rsidRPr="007D3063">
        <w:rPr>
          <w:rFonts w:ascii="Arial" w:eastAsia="Arial" w:hAnsi="Arial" w:cs="Arial"/>
          <w:sz w:val="22"/>
          <w:szCs w:val="22"/>
        </w:rPr>
        <w:t xml:space="preserve"> - </w:t>
      </w:r>
      <w:r w:rsidRPr="007D3063">
        <w:rPr>
          <w:rFonts w:ascii="Arial" w:eastAsia="Arial" w:hAnsi="Arial" w:cs="Arial"/>
          <w:sz w:val="22"/>
          <w:szCs w:val="22"/>
        </w:rPr>
        <w:t xml:space="preserve">EN LIQUIDACIÓN, identificada con NIT. 900.551.644-1, representada legalmente por la </w:t>
      </w:r>
      <w:r w:rsidR="007D3063" w:rsidRPr="007D3063">
        <w:rPr>
          <w:rFonts w:ascii="Arial" w:eastAsia="Arial" w:hAnsi="Arial" w:cs="Arial"/>
          <w:sz w:val="22"/>
          <w:szCs w:val="22"/>
        </w:rPr>
        <w:t xml:space="preserve">señora </w:t>
      </w:r>
      <w:r w:rsidR="00D27AAB" w:rsidRPr="007D3063">
        <w:rPr>
          <w:rFonts w:ascii="Arial" w:eastAsia="Arial" w:hAnsi="Arial" w:cs="Arial"/>
          <w:sz w:val="22"/>
          <w:szCs w:val="22"/>
        </w:rPr>
        <w:t>LEIDY JOHANNA SANABRIA VARGA</w:t>
      </w:r>
      <w:r w:rsidR="007D3063" w:rsidRPr="007D3063">
        <w:rPr>
          <w:rFonts w:ascii="Arial" w:eastAsia="Arial" w:hAnsi="Arial" w:cs="Arial"/>
          <w:sz w:val="22"/>
          <w:szCs w:val="22"/>
        </w:rPr>
        <w:t xml:space="preserve">S </w:t>
      </w:r>
      <w:r w:rsidRPr="007D3063">
        <w:rPr>
          <w:rFonts w:ascii="Arial" w:eastAsia="Arial" w:hAnsi="Arial" w:cs="Arial"/>
          <w:sz w:val="22"/>
          <w:szCs w:val="22"/>
        </w:rPr>
        <w:t>(o quien haga sus veces),</w:t>
      </w:r>
      <w:r w:rsidRPr="007D3063">
        <w:rPr>
          <w:rFonts w:ascii="Arial" w:eastAsia="Arial" w:hAnsi="Arial" w:cs="Arial"/>
          <w:b/>
          <w:bCs/>
          <w:sz w:val="22"/>
          <w:szCs w:val="22"/>
        </w:rPr>
        <w:t xml:space="preserve"> </w:t>
      </w:r>
      <w:r w:rsidRPr="007D3063">
        <w:rPr>
          <w:rFonts w:ascii="Arial" w:eastAsia="Arial" w:hAnsi="Arial" w:cs="Arial"/>
          <w:sz w:val="22"/>
          <w:szCs w:val="22"/>
        </w:rPr>
        <w:t xml:space="preserve">al correo electrónico: </w:t>
      </w:r>
      <w:hyperlink r:id="rId8">
        <w:r w:rsidR="009F4149" w:rsidRPr="007D3063">
          <w:rPr>
            <w:rFonts w:ascii="Arial" w:eastAsia="Arial" w:hAnsi="Arial" w:cs="Arial"/>
            <w:b/>
            <w:bCs/>
            <w:sz w:val="22"/>
            <w:szCs w:val="22"/>
            <w:u w:val="single"/>
          </w:rPr>
          <w:t>p</w:t>
        </w:r>
      </w:hyperlink>
      <w:r w:rsidRPr="007D3063">
        <w:rPr>
          <w:rFonts w:ascii="Arial" w:eastAsia="Arial" w:hAnsi="Arial" w:cs="Arial"/>
          <w:b/>
          <w:bCs/>
          <w:sz w:val="22"/>
          <w:szCs w:val="22"/>
          <w:u w:val="single"/>
        </w:rPr>
        <w:t>eninsulaespacio140@gmail.com</w:t>
      </w:r>
      <w:r w:rsidRPr="007D3063">
        <w:rPr>
          <w:rFonts w:ascii="Arial" w:eastAsia="Arial" w:hAnsi="Arial" w:cs="Arial"/>
          <w:sz w:val="22"/>
          <w:szCs w:val="22"/>
        </w:rPr>
        <w:t>; o, en su defecto, conforme a las reglas pertinentes de notificación previstas en la Ley 1437 de 2011.</w:t>
      </w:r>
    </w:p>
    <w:p w14:paraId="06EE68E4" w14:textId="77777777" w:rsidR="009F4149" w:rsidRDefault="009F4149">
      <w:pPr>
        <w:widowControl w:val="0"/>
        <w:jc w:val="both"/>
        <w:rPr>
          <w:rFonts w:ascii="Arial" w:eastAsia="Arial" w:hAnsi="Arial" w:cs="Arial"/>
          <w:b/>
          <w:bCs/>
          <w:sz w:val="22"/>
          <w:szCs w:val="22"/>
        </w:rPr>
      </w:pPr>
    </w:p>
    <w:p w14:paraId="06EE68E5" w14:textId="6B23D935" w:rsidR="009F4149" w:rsidRDefault="00FE6B9D">
      <w:pPr>
        <w:widowControl w:val="0"/>
        <w:jc w:val="both"/>
        <w:rPr>
          <w:rFonts w:ascii="Arial" w:eastAsia="Arial" w:hAnsi="Arial" w:cs="Arial"/>
          <w:sz w:val="22"/>
          <w:szCs w:val="22"/>
        </w:rPr>
      </w:pPr>
      <w:r>
        <w:rPr>
          <w:rFonts w:ascii="Arial" w:eastAsia="Arial" w:hAnsi="Arial" w:cs="Arial"/>
          <w:b/>
          <w:bCs/>
          <w:sz w:val="22"/>
          <w:szCs w:val="22"/>
        </w:rPr>
        <w:t>ARTÍCULO TERCERO.</w:t>
      </w:r>
      <w:r>
        <w:rPr>
          <w:rFonts w:ascii="Arial" w:eastAsia="Arial" w:hAnsi="Arial" w:cs="Arial"/>
          <w:sz w:val="22"/>
          <w:szCs w:val="22"/>
        </w:rPr>
        <w:t xml:space="preserve"> Notificar el contenido de esta Resolución al </w:t>
      </w:r>
      <w:r w:rsidRPr="008E6CD4">
        <w:rPr>
          <w:rFonts w:ascii="Arial" w:eastAsia="Arial" w:hAnsi="Arial" w:cs="Arial"/>
          <w:sz w:val="22"/>
          <w:szCs w:val="22"/>
        </w:rPr>
        <w:t xml:space="preserve">propietario </w:t>
      </w:r>
      <w:r w:rsidR="009A3A72" w:rsidRPr="008E6CD4">
        <w:rPr>
          <w:rFonts w:ascii="Arial" w:eastAsia="Arial" w:hAnsi="Arial" w:cs="Arial"/>
          <w:sz w:val="22"/>
          <w:szCs w:val="22"/>
        </w:rPr>
        <w:t xml:space="preserve">del apartamento 916 Torre 1 </w:t>
      </w:r>
      <w:r w:rsidRPr="008E6CD4">
        <w:rPr>
          <w:rFonts w:ascii="Arial" w:eastAsia="Arial" w:hAnsi="Arial" w:cs="Arial"/>
          <w:sz w:val="22"/>
          <w:szCs w:val="22"/>
        </w:rPr>
        <w:t>(o quien haga sus veces) del proyecto de vivienda EDIFICIO MULTIFAMILIAR ESPACIO 140</w:t>
      </w:r>
      <w:r w:rsidR="008E6CD4" w:rsidRPr="008E6CD4">
        <w:rPr>
          <w:rFonts w:ascii="Arial" w:eastAsia="Arial" w:hAnsi="Arial" w:cs="Arial"/>
          <w:sz w:val="22"/>
          <w:szCs w:val="22"/>
        </w:rPr>
        <w:t xml:space="preserve"> </w:t>
      </w:r>
      <w:r w:rsidRPr="008E6CD4">
        <w:rPr>
          <w:rFonts w:ascii="Arial" w:eastAsia="Arial" w:hAnsi="Arial" w:cs="Arial"/>
          <w:sz w:val="22"/>
          <w:szCs w:val="22"/>
        </w:rPr>
        <w:t xml:space="preserve">- PROPIEDAD HORIZONTAL, para lo cual deberá enviarse citación para notificación personal a la </w:t>
      </w:r>
      <w:r w:rsidRPr="009D1F78">
        <w:rPr>
          <w:rFonts w:ascii="Arial" w:eastAsia="Arial" w:hAnsi="Arial" w:cs="Arial"/>
          <w:sz w:val="22"/>
          <w:szCs w:val="22"/>
        </w:rPr>
        <w:t xml:space="preserve">Carrera 11 </w:t>
      </w:r>
      <w:r w:rsidR="008E6CD4" w:rsidRPr="009D1F78">
        <w:rPr>
          <w:rFonts w:ascii="Arial" w:eastAsia="Arial" w:hAnsi="Arial" w:cs="Arial"/>
          <w:sz w:val="22"/>
          <w:szCs w:val="22"/>
        </w:rPr>
        <w:t xml:space="preserve">No. </w:t>
      </w:r>
      <w:r w:rsidRPr="009D1F78">
        <w:rPr>
          <w:rFonts w:ascii="Arial" w:eastAsia="Arial" w:hAnsi="Arial" w:cs="Arial"/>
          <w:sz w:val="22"/>
          <w:szCs w:val="22"/>
        </w:rPr>
        <w:t>140</w:t>
      </w:r>
      <w:r w:rsidR="008E6CD4" w:rsidRPr="009D1F78">
        <w:rPr>
          <w:rFonts w:ascii="Arial" w:eastAsia="Arial" w:hAnsi="Arial" w:cs="Arial"/>
          <w:sz w:val="22"/>
          <w:szCs w:val="22"/>
        </w:rPr>
        <w:t xml:space="preserve"> </w:t>
      </w:r>
      <w:r w:rsidRPr="009D1F78">
        <w:rPr>
          <w:rFonts w:ascii="Arial" w:eastAsia="Arial" w:hAnsi="Arial" w:cs="Arial"/>
          <w:sz w:val="22"/>
          <w:szCs w:val="22"/>
        </w:rPr>
        <w:t>-</w:t>
      </w:r>
      <w:r w:rsidR="008E6CD4" w:rsidRPr="009D1F78">
        <w:rPr>
          <w:rFonts w:ascii="Arial" w:eastAsia="Arial" w:hAnsi="Arial" w:cs="Arial"/>
          <w:sz w:val="22"/>
          <w:szCs w:val="22"/>
        </w:rPr>
        <w:t xml:space="preserve"> </w:t>
      </w:r>
      <w:r w:rsidRPr="009D1F78">
        <w:rPr>
          <w:rFonts w:ascii="Arial" w:eastAsia="Arial" w:hAnsi="Arial" w:cs="Arial"/>
          <w:sz w:val="22"/>
          <w:szCs w:val="22"/>
        </w:rPr>
        <w:t xml:space="preserve">52 </w:t>
      </w:r>
      <w:r w:rsidR="009D1F78" w:rsidRPr="008E6CD4">
        <w:rPr>
          <w:rFonts w:ascii="Arial" w:eastAsia="Arial" w:hAnsi="Arial" w:cs="Arial"/>
          <w:sz w:val="22"/>
          <w:szCs w:val="22"/>
        </w:rPr>
        <w:t>apartamento 916 Torre 1</w:t>
      </w:r>
      <w:r w:rsidR="009D1F78">
        <w:rPr>
          <w:rFonts w:ascii="Arial" w:eastAsia="Arial" w:hAnsi="Arial" w:cs="Arial"/>
          <w:sz w:val="22"/>
          <w:szCs w:val="22"/>
        </w:rPr>
        <w:t xml:space="preserve"> de la ciudad de Bogotá</w:t>
      </w:r>
      <w:r w:rsidRPr="008E6CD4">
        <w:rPr>
          <w:rFonts w:ascii="Arial" w:eastAsia="Arial" w:hAnsi="Arial" w:cs="Arial"/>
          <w:sz w:val="22"/>
          <w:szCs w:val="22"/>
        </w:rPr>
        <w:t>; o, en su defecto, de conformidad con las normas de notificación previstas en la Ley 1437 de 2011.</w:t>
      </w:r>
    </w:p>
    <w:p w14:paraId="06EE68E6" w14:textId="77777777" w:rsidR="009F4149" w:rsidRDefault="009F4149">
      <w:pPr>
        <w:widowControl w:val="0"/>
        <w:jc w:val="both"/>
        <w:rPr>
          <w:rFonts w:ascii="Arial" w:eastAsia="Arial" w:hAnsi="Arial" w:cs="Arial"/>
          <w:sz w:val="22"/>
          <w:szCs w:val="22"/>
        </w:rPr>
      </w:pPr>
    </w:p>
    <w:p w14:paraId="06EE68E7" w14:textId="77777777" w:rsidR="009F4149" w:rsidRDefault="00FE6B9D">
      <w:pPr>
        <w:widowControl w:val="0"/>
        <w:jc w:val="both"/>
        <w:rPr>
          <w:rFonts w:ascii="Arial" w:eastAsia="Arial" w:hAnsi="Arial" w:cs="Arial"/>
          <w:sz w:val="22"/>
          <w:szCs w:val="22"/>
        </w:rPr>
      </w:pPr>
      <w:r>
        <w:rPr>
          <w:rFonts w:ascii="Arial" w:eastAsia="Arial" w:hAnsi="Arial" w:cs="Arial"/>
          <w:b/>
          <w:bCs/>
          <w:sz w:val="22"/>
          <w:szCs w:val="22"/>
        </w:rPr>
        <w:t xml:space="preserve">ARTÍCULO CUARTO. </w:t>
      </w:r>
      <w:r>
        <w:rPr>
          <w:rFonts w:ascii="Arial" w:eastAsia="Arial" w:hAnsi="Arial" w:cs="Arial"/>
          <w:sz w:val="22"/>
          <w:szCs w:val="22"/>
        </w:rPr>
        <w:t>Contra la presente Resolución procede el recurso de reposición ante este Despacho y el de apelación ante la Subsecretaría de Inspección, Vigilancia y Control de Vivienda de la Secretaría Distrital del Hábitat, los cuales podrán interponerse en la diligencia de notificación personal, o dentro de los diez (10) días siguientes a ella, o a la notificación por aviso, o al vencimiento del término de publicación según el caso, de conformidad con lo dispuesto en los artículos 74 y siguientes del Código de Procedimiento Administrativo y de lo Contencioso Administrativo.</w:t>
      </w:r>
    </w:p>
    <w:p w14:paraId="06EE68E8" w14:textId="77777777" w:rsidR="009F4149" w:rsidRDefault="009F4149">
      <w:pPr>
        <w:widowControl w:val="0"/>
        <w:jc w:val="both"/>
        <w:rPr>
          <w:rFonts w:ascii="Arial" w:eastAsia="Arial" w:hAnsi="Arial" w:cs="Arial"/>
          <w:b/>
          <w:bCs/>
          <w:sz w:val="22"/>
          <w:szCs w:val="22"/>
        </w:rPr>
      </w:pPr>
    </w:p>
    <w:p w14:paraId="06EE68E9" w14:textId="77777777" w:rsidR="009F4149" w:rsidRDefault="00FE6B9D">
      <w:pPr>
        <w:widowControl w:val="0"/>
        <w:jc w:val="both"/>
        <w:rPr>
          <w:rFonts w:ascii="Arial" w:eastAsia="Arial" w:hAnsi="Arial" w:cs="Arial"/>
          <w:sz w:val="22"/>
          <w:szCs w:val="22"/>
        </w:rPr>
      </w:pPr>
      <w:r>
        <w:rPr>
          <w:rFonts w:ascii="Arial" w:eastAsia="Arial" w:hAnsi="Arial" w:cs="Arial"/>
          <w:b/>
          <w:bCs/>
          <w:sz w:val="22"/>
          <w:szCs w:val="22"/>
        </w:rPr>
        <w:t>ARTÍCULO QUINTO.</w:t>
      </w:r>
      <w:r>
        <w:rPr>
          <w:rFonts w:ascii="Arial" w:eastAsia="Arial" w:hAnsi="Arial" w:cs="Arial"/>
          <w:sz w:val="22"/>
          <w:szCs w:val="22"/>
        </w:rPr>
        <w:t xml:space="preserve"> Una vez en firme el presente acto administrativo se procederá con su archivo.</w:t>
      </w:r>
    </w:p>
    <w:p w14:paraId="06EE68EA" w14:textId="77777777" w:rsidR="009F4149" w:rsidRDefault="009F4149">
      <w:pPr>
        <w:widowControl w:val="0"/>
        <w:jc w:val="both"/>
        <w:rPr>
          <w:rFonts w:ascii="Arial" w:eastAsia="Arial" w:hAnsi="Arial" w:cs="Arial"/>
          <w:b/>
          <w:bCs/>
          <w:sz w:val="22"/>
          <w:szCs w:val="22"/>
        </w:rPr>
      </w:pPr>
    </w:p>
    <w:p w14:paraId="06EE68EB" w14:textId="77777777" w:rsidR="009F4149" w:rsidRDefault="00FE6B9D">
      <w:pPr>
        <w:widowControl w:val="0"/>
        <w:jc w:val="both"/>
        <w:rPr>
          <w:rFonts w:ascii="Arial" w:eastAsia="Arial" w:hAnsi="Arial" w:cs="Arial"/>
          <w:sz w:val="22"/>
          <w:szCs w:val="22"/>
        </w:rPr>
      </w:pPr>
      <w:r>
        <w:rPr>
          <w:rFonts w:ascii="Arial" w:eastAsia="Arial" w:hAnsi="Arial" w:cs="Arial"/>
          <w:b/>
          <w:bCs/>
          <w:sz w:val="22"/>
          <w:szCs w:val="22"/>
        </w:rPr>
        <w:t xml:space="preserve">ARTÍCULO SEXTO. </w:t>
      </w:r>
      <w:r>
        <w:rPr>
          <w:rFonts w:ascii="Arial" w:eastAsia="Arial" w:hAnsi="Arial" w:cs="Arial"/>
          <w:sz w:val="22"/>
          <w:szCs w:val="22"/>
        </w:rPr>
        <w:t>La presente resolución rige a partir de la fecha de su expedición.</w:t>
      </w:r>
    </w:p>
    <w:p w14:paraId="06EE68EC" w14:textId="77777777" w:rsidR="009F4149" w:rsidRDefault="009F4149">
      <w:pPr>
        <w:widowControl w:val="0"/>
        <w:jc w:val="center"/>
        <w:rPr>
          <w:rFonts w:ascii="Arial" w:eastAsia="Arial" w:hAnsi="Arial" w:cs="Arial"/>
          <w:b/>
          <w:bCs/>
          <w:sz w:val="22"/>
          <w:szCs w:val="22"/>
        </w:rPr>
      </w:pPr>
    </w:p>
    <w:p w14:paraId="06CF76D0" w14:textId="77777777" w:rsidR="009A3A72" w:rsidRDefault="009A3A72">
      <w:pPr>
        <w:widowControl w:val="0"/>
        <w:jc w:val="center"/>
        <w:rPr>
          <w:rFonts w:ascii="Arial" w:eastAsia="Arial" w:hAnsi="Arial" w:cs="Arial"/>
          <w:b/>
          <w:bCs/>
          <w:sz w:val="22"/>
          <w:szCs w:val="22"/>
        </w:rPr>
      </w:pPr>
    </w:p>
    <w:p w14:paraId="06EE68EE" w14:textId="77777777" w:rsidR="009F4149" w:rsidRDefault="00FE6B9D">
      <w:pPr>
        <w:widowControl w:val="0"/>
        <w:jc w:val="center"/>
        <w:rPr>
          <w:rFonts w:ascii="Arial" w:eastAsia="Arial" w:hAnsi="Arial" w:cs="Arial"/>
          <w:b/>
          <w:bCs/>
          <w:sz w:val="22"/>
          <w:szCs w:val="22"/>
        </w:rPr>
      </w:pPr>
      <w:r>
        <w:rPr>
          <w:rFonts w:ascii="Arial" w:eastAsia="Arial" w:hAnsi="Arial" w:cs="Arial"/>
          <w:b/>
          <w:bCs/>
          <w:sz w:val="22"/>
          <w:szCs w:val="22"/>
        </w:rPr>
        <w:t>NOTIFÍQUESE, COMUNÍQUESE Y CÚMPLASE.</w:t>
      </w:r>
    </w:p>
    <w:p w14:paraId="06EE68EF" w14:textId="77777777" w:rsidR="009F4149" w:rsidRDefault="009F4149">
      <w:pPr>
        <w:widowControl w:val="0"/>
        <w:jc w:val="center"/>
        <w:rPr>
          <w:rFonts w:ascii="Arial" w:eastAsia="Arial" w:hAnsi="Arial" w:cs="Arial"/>
          <w:b/>
          <w:bCs/>
          <w:sz w:val="22"/>
          <w:szCs w:val="22"/>
        </w:rPr>
      </w:pPr>
    </w:p>
    <w:p w14:paraId="06EE68F0" w14:textId="77777777" w:rsidR="009F4149" w:rsidRDefault="009F4149">
      <w:pPr>
        <w:widowControl w:val="0"/>
        <w:jc w:val="center"/>
        <w:rPr>
          <w:rFonts w:ascii="Arial" w:eastAsia="Arial" w:hAnsi="Arial" w:cs="Arial"/>
          <w:b/>
          <w:bCs/>
          <w:sz w:val="22"/>
          <w:szCs w:val="22"/>
        </w:rPr>
      </w:pPr>
    </w:p>
    <w:p w14:paraId="7A7EB032" w14:textId="77777777" w:rsidR="009D1F78" w:rsidRDefault="009D1F78">
      <w:pPr>
        <w:widowControl w:val="0"/>
        <w:jc w:val="center"/>
        <w:rPr>
          <w:rFonts w:ascii="Arial" w:eastAsia="Arial" w:hAnsi="Arial" w:cs="Arial"/>
          <w:b/>
          <w:bCs/>
          <w:sz w:val="22"/>
          <w:szCs w:val="22"/>
        </w:rPr>
      </w:pPr>
    </w:p>
    <w:p w14:paraId="06EE68F1" w14:textId="77777777" w:rsidR="009F4149" w:rsidRDefault="009F4149">
      <w:pPr>
        <w:widowControl w:val="0"/>
        <w:jc w:val="both"/>
        <w:rPr>
          <w:rFonts w:ascii="Arial" w:eastAsia="Arial" w:hAnsi="Arial" w:cs="Arial"/>
          <w:sz w:val="22"/>
          <w:szCs w:val="22"/>
        </w:rPr>
      </w:pPr>
    </w:p>
    <w:p w14:paraId="06EE68F2" w14:textId="77777777" w:rsidR="009F4149" w:rsidRDefault="00FE6B9D">
      <w:pPr>
        <w:widowControl w:val="0"/>
        <w:jc w:val="center"/>
        <w:rPr>
          <w:rFonts w:ascii="Arial" w:eastAsia="Arial" w:hAnsi="Arial" w:cs="Arial"/>
          <w:b/>
          <w:bCs/>
          <w:sz w:val="22"/>
          <w:szCs w:val="22"/>
        </w:rPr>
      </w:pPr>
      <w:r>
        <w:rPr>
          <w:rFonts w:ascii="Arial" w:eastAsia="Arial" w:hAnsi="Arial" w:cs="Arial"/>
          <w:b/>
          <w:bCs/>
          <w:sz w:val="22"/>
          <w:szCs w:val="22"/>
        </w:rPr>
        <w:t>JAZMÍN ROCÍO OROZCO RODRÍGUEZ</w:t>
      </w:r>
    </w:p>
    <w:p w14:paraId="06EE68F3" w14:textId="77777777" w:rsidR="009F4149" w:rsidRDefault="00FE6B9D">
      <w:pPr>
        <w:widowControl w:val="0"/>
        <w:jc w:val="center"/>
        <w:rPr>
          <w:rFonts w:ascii="Arial" w:eastAsia="Arial" w:hAnsi="Arial" w:cs="Arial"/>
          <w:b/>
          <w:bCs/>
          <w:sz w:val="22"/>
          <w:szCs w:val="22"/>
        </w:rPr>
      </w:pPr>
      <w:r>
        <w:rPr>
          <w:rFonts w:ascii="Arial" w:eastAsia="Arial" w:hAnsi="Arial" w:cs="Arial"/>
          <w:b/>
          <w:bCs/>
          <w:sz w:val="22"/>
          <w:szCs w:val="22"/>
        </w:rPr>
        <w:t>Directora de Investigaciones y Control de Vivienda</w:t>
      </w:r>
    </w:p>
    <w:p w14:paraId="06EE68F4" w14:textId="77777777" w:rsidR="009F4149" w:rsidRDefault="009F4149">
      <w:pPr>
        <w:widowControl w:val="0"/>
        <w:jc w:val="both"/>
        <w:rPr>
          <w:rFonts w:ascii="Arial" w:eastAsia="Arial" w:hAnsi="Arial" w:cs="Arial"/>
          <w:i/>
          <w:iCs/>
          <w:sz w:val="22"/>
          <w:szCs w:val="22"/>
        </w:rPr>
      </w:pPr>
    </w:p>
    <w:p w14:paraId="2B438169" w14:textId="0498AECE" w:rsidR="006A74D1" w:rsidRPr="00D67371" w:rsidRDefault="006A74D1" w:rsidP="006A74D1">
      <w:pPr>
        <w:pStyle w:val="Sinespaciado"/>
        <w:jc w:val="both"/>
        <w:rPr>
          <w:rFonts w:ascii="Arial" w:hAnsi="Arial" w:cs="Arial"/>
          <w:i/>
          <w:iCs/>
          <w:sz w:val="16"/>
          <w:szCs w:val="16"/>
        </w:rPr>
      </w:pPr>
      <w:r w:rsidRPr="00D67371">
        <w:rPr>
          <w:rFonts w:ascii="Arial" w:hAnsi="Arial" w:cs="Arial"/>
          <w:i/>
          <w:sz w:val="16"/>
          <w:szCs w:val="16"/>
          <w:lang w:eastAsia="es-ES"/>
        </w:rPr>
        <w:t xml:space="preserve">Proyectó: </w:t>
      </w:r>
      <w:r w:rsidRPr="00D67371">
        <w:rPr>
          <w:rFonts w:ascii="Arial" w:hAnsi="Arial" w:cs="Arial"/>
          <w:i/>
          <w:sz w:val="16"/>
          <w:szCs w:val="16"/>
        </w:rPr>
        <w:t xml:space="preserve">Daniel Santiago Cristiano González - </w:t>
      </w:r>
      <w:r w:rsidRPr="00D67371">
        <w:rPr>
          <w:rFonts w:ascii="Arial" w:hAnsi="Arial" w:cs="Arial"/>
          <w:i/>
          <w:iCs/>
          <w:sz w:val="16"/>
          <w:szCs w:val="16"/>
        </w:rPr>
        <w:t xml:space="preserve">Abogado Contratista – </w:t>
      </w:r>
      <w:r>
        <w:rPr>
          <w:rFonts w:ascii="Arial" w:hAnsi="Arial" w:cs="Arial"/>
          <w:i/>
          <w:iCs/>
          <w:sz w:val="16"/>
          <w:szCs w:val="16"/>
        </w:rPr>
        <w:t>D</w:t>
      </w:r>
      <w:r w:rsidRPr="00D67371">
        <w:rPr>
          <w:rFonts w:ascii="Arial" w:hAnsi="Arial" w:cs="Arial"/>
          <w:i/>
          <w:iCs/>
          <w:sz w:val="16"/>
          <w:szCs w:val="16"/>
        </w:rPr>
        <w:t>ICV</w:t>
      </w:r>
    </w:p>
    <w:p w14:paraId="57C865A5" w14:textId="56EEF9E8" w:rsidR="006A74D1" w:rsidRPr="00D67371" w:rsidRDefault="006A74D1" w:rsidP="006A74D1">
      <w:pPr>
        <w:pStyle w:val="Sinespaciado"/>
        <w:jc w:val="both"/>
        <w:rPr>
          <w:rFonts w:ascii="Arial" w:hAnsi="Arial" w:cs="Arial"/>
          <w:i/>
          <w:iCs/>
          <w:sz w:val="16"/>
          <w:szCs w:val="16"/>
        </w:rPr>
      </w:pPr>
      <w:r w:rsidRPr="00D67371">
        <w:rPr>
          <w:rFonts w:ascii="Arial" w:hAnsi="Arial" w:cs="Arial"/>
          <w:i/>
          <w:sz w:val="16"/>
          <w:szCs w:val="16"/>
          <w:lang w:eastAsia="es-ES"/>
        </w:rPr>
        <w:t xml:space="preserve">Revisó: </w:t>
      </w:r>
      <w:r w:rsidRPr="00D67371">
        <w:rPr>
          <w:rFonts w:ascii="Arial" w:hAnsi="Arial" w:cs="Arial"/>
          <w:i/>
          <w:iCs/>
          <w:sz w:val="16"/>
          <w:szCs w:val="16"/>
        </w:rPr>
        <w:t xml:space="preserve">Mauricio Hernández Beltrán – Abogado Contratista – </w:t>
      </w:r>
      <w:r>
        <w:rPr>
          <w:rFonts w:ascii="Arial" w:hAnsi="Arial" w:cs="Arial"/>
          <w:i/>
          <w:iCs/>
          <w:sz w:val="16"/>
          <w:szCs w:val="16"/>
        </w:rPr>
        <w:t>D</w:t>
      </w:r>
      <w:r w:rsidRPr="00D67371">
        <w:rPr>
          <w:rFonts w:ascii="Arial" w:hAnsi="Arial" w:cs="Arial"/>
          <w:i/>
          <w:iCs/>
          <w:sz w:val="16"/>
          <w:szCs w:val="16"/>
        </w:rPr>
        <w:t xml:space="preserve">ICV </w:t>
      </w:r>
    </w:p>
    <w:p w14:paraId="06EE68F7" w14:textId="77777777" w:rsidR="009F4149" w:rsidRDefault="009F4149">
      <w:pPr>
        <w:rPr>
          <w:rFonts w:ascii="Arial" w:eastAsia="Arial" w:hAnsi="Arial" w:cs="Arial"/>
          <w:sz w:val="22"/>
          <w:szCs w:val="22"/>
        </w:rPr>
      </w:pPr>
    </w:p>
    <w:sectPr w:rsidR="009F4149">
      <w:headerReference w:type="default" r:id="rId9"/>
      <w:footerReference w:type="even" r:id="rId10"/>
      <w:footerReference w:type="default" r:id="rId11"/>
      <w:pgSz w:w="12240" w:h="15840"/>
      <w:pgMar w:top="1418" w:right="1701" w:bottom="1418" w:left="1701" w:header="709" w:footer="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97EAFA9" w14:textId="77777777" w:rsidR="00BF6B1E" w:rsidRDefault="00BF6B1E">
      <w:r>
        <w:separator/>
      </w:r>
    </w:p>
  </w:endnote>
  <w:endnote w:type="continuationSeparator" w:id="0">
    <w:p w14:paraId="288FDD11" w14:textId="77777777" w:rsidR="00BF6B1E" w:rsidRDefault="00BF6B1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charset w:val="00"/>
    <w:family w:val="auto"/>
    <w:pitch w:val="default"/>
    <w:embedRegular r:id="rId1" w:fontKey="{4C678F18-1B51-4BDB-AE2C-AE5E09B8FC9E}"/>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2" w:fontKey="{73A2A558-D308-4AFA-A78B-DDE8BA8A60CF}"/>
    <w:embedBold r:id="rId3" w:fontKey="{62259887-630B-41E9-B635-F034F2E62E86}"/>
    <w:embedItalic r:id="rId4" w:fontKey="{115BCDC0-A43E-4931-9B2E-FA4EE419C839}"/>
  </w:font>
  <w:font w:name="Segoe UI">
    <w:panose1 w:val="020B0502040204020203"/>
    <w:charset w:val="00"/>
    <w:family w:val="swiss"/>
    <w:pitch w:val="variable"/>
    <w:sig w:usb0="E4002EFF" w:usb1="C000E47F" w:usb2="00000009" w:usb3="00000000" w:csb0="000001FF" w:csb1="00000000"/>
    <w:embedRegular r:id="rId5" w:fontKey="{3AC73666-8BB0-4607-8BFF-33E74B0E33AA}"/>
  </w:font>
  <w:font w:name="Calibri Light">
    <w:panose1 w:val="020F0302020204030204"/>
    <w:charset w:val="00"/>
    <w:family w:val="swiss"/>
    <w:pitch w:val="variable"/>
    <w:sig w:usb0="E4002EFF" w:usb1="C200247B" w:usb2="00000009" w:usb3="00000000" w:csb0="000001FF" w:csb1="00000000"/>
    <w:embedRegular r:id="rId6" w:fontKey="{B6E0CA9F-5A64-447B-B3F3-57D45194B170}"/>
  </w:font>
  <w:font w:name="Helvetica">
    <w:panose1 w:val="020B0604020202020204"/>
    <w:charset w:val="00"/>
    <w:family w:val="swiss"/>
    <w:pitch w:val="variable"/>
    <w:sig w:usb0="E0002EFF" w:usb1="C000785B" w:usb2="00000009" w:usb3="00000000" w:csb0="000001FF" w:csb1="00000000"/>
    <w:embedRegular r:id="rId7" w:fontKey="{A65CFBEF-6647-4E62-952E-57AC67489066}"/>
    <w:embedItalic r:id="rId8" w:fontKey="{A8841BF3-5AAA-4787-A5D8-A59682CEAE22}"/>
    <w:embedBoldItalic r:id="rId9" w:fontKey="{993E5C86-3ECE-45E1-8352-CF8691681E1B}"/>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EE68FD" w14:textId="77777777" w:rsidR="009F4149" w:rsidRDefault="00FE6B9D">
    <w:pPr>
      <w:pBdr>
        <w:top w:val="nil"/>
        <w:left w:val="nil"/>
        <w:bottom w:val="nil"/>
        <w:right w:val="nil"/>
        <w:between w:val="nil"/>
      </w:pBdr>
      <w:tabs>
        <w:tab w:val="center" w:pos="4419"/>
        <w:tab w:val="right" w:pos="8838"/>
      </w:tabs>
      <w:jc w:val="right"/>
      <w:rPr>
        <w:rFonts w:ascii="Calibri" w:eastAsia="Calibri" w:hAnsi="Calibri" w:cs="Calibri"/>
        <w:color w:val="000000"/>
        <w:sz w:val="22"/>
        <w:szCs w:val="22"/>
      </w:rPr>
    </w:pPr>
    <w:r>
      <w:rPr>
        <w:rFonts w:ascii="Calibri" w:eastAsia="Calibri" w:hAnsi="Calibri" w:cs="Calibri"/>
        <w:color w:val="000000"/>
        <w:sz w:val="22"/>
        <w:szCs w:val="22"/>
      </w:rPr>
      <w:fldChar w:fldCharType="begin"/>
    </w:r>
    <w:r>
      <w:rPr>
        <w:rFonts w:ascii="Calibri" w:eastAsia="Calibri" w:hAnsi="Calibri" w:cs="Calibri"/>
        <w:color w:val="000000"/>
        <w:sz w:val="22"/>
        <w:szCs w:val="22"/>
      </w:rPr>
      <w:instrText>PAGE</w:instrText>
    </w:r>
    <w:r>
      <w:rPr>
        <w:rFonts w:ascii="Calibri" w:eastAsia="Calibri" w:hAnsi="Calibri" w:cs="Calibri"/>
        <w:color w:val="000000"/>
        <w:sz w:val="22"/>
        <w:szCs w:val="22"/>
      </w:rPr>
      <w:fldChar w:fldCharType="separate"/>
    </w:r>
    <w:r>
      <w:rPr>
        <w:rFonts w:ascii="Calibri" w:eastAsia="Calibri" w:hAnsi="Calibri" w:cs="Calibri"/>
        <w:color w:val="000000"/>
        <w:sz w:val="22"/>
        <w:szCs w:val="22"/>
      </w:rPr>
      <w:fldChar w:fldCharType="end"/>
    </w:r>
  </w:p>
  <w:p w14:paraId="06EE68FE" w14:textId="77777777" w:rsidR="009F4149" w:rsidRDefault="009F4149">
    <w:pPr>
      <w:pBdr>
        <w:top w:val="nil"/>
        <w:left w:val="nil"/>
        <w:bottom w:val="nil"/>
        <w:right w:val="nil"/>
        <w:between w:val="nil"/>
      </w:pBdr>
      <w:tabs>
        <w:tab w:val="center" w:pos="4419"/>
        <w:tab w:val="right" w:pos="8838"/>
      </w:tabs>
      <w:ind w:right="360"/>
      <w:rPr>
        <w:rFonts w:ascii="Calibri" w:eastAsia="Calibri" w:hAnsi="Calibri" w:cs="Calibri"/>
        <w:color w:val="000000"/>
        <w:sz w:val="22"/>
        <w:szCs w:val="22"/>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EE68FF" w14:textId="77777777" w:rsidR="009F4149" w:rsidRDefault="00FE6B9D">
    <w:pPr>
      <w:pBdr>
        <w:top w:val="nil"/>
        <w:left w:val="nil"/>
        <w:bottom w:val="nil"/>
        <w:right w:val="nil"/>
        <w:between w:val="nil"/>
      </w:pBdr>
      <w:tabs>
        <w:tab w:val="center" w:pos="4419"/>
        <w:tab w:val="right" w:pos="8838"/>
      </w:tabs>
      <w:rPr>
        <w:rFonts w:ascii="Calibri" w:eastAsia="Calibri" w:hAnsi="Calibri" w:cs="Calibri"/>
        <w:color w:val="000000"/>
        <w:sz w:val="16"/>
        <w:szCs w:val="16"/>
      </w:rPr>
    </w:pPr>
    <w:r>
      <w:rPr>
        <w:rFonts w:ascii="Arial" w:eastAsia="Arial" w:hAnsi="Arial" w:cs="Arial"/>
        <w:color w:val="000000"/>
        <w:sz w:val="16"/>
        <w:szCs w:val="16"/>
      </w:rPr>
      <w:t xml:space="preserve">Secretaría Distrital del Hábitat                             </w:t>
    </w:r>
    <w:r>
      <w:rPr>
        <w:noProof/>
      </w:rPr>
      <w:drawing>
        <wp:anchor distT="0" distB="0" distL="114300" distR="114300" simplePos="0" relativeHeight="251659264" behindDoc="0" locked="0" layoutInCell="1" hidden="0" allowOverlap="1" wp14:anchorId="06EE690B" wp14:editId="06EE690C">
          <wp:simplePos x="0" y="0"/>
          <wp:positionH relativeFrom="column">
            <wp:posOffset>2239010</wp:posOffset>
          </wp:positionH>
          <wp:positionV relativeFrom="paragraph">
            <wp:posOffset>74295</wp:posOffset>
          </wp:positionV>
          <wp:extent cx="2133600" cy="861695"/>
          <wp:effectExtent l="0" t="0" r="0" b="0"/>
          <wp:wrapSquare wrapText="bothSides" distT="0" distB="0" distL="114300" distR="114300"/>
          <wp:docPr id="1725787592"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srcRect/>
                  <a:stretch>
                    <a:fillRect/>
                  </a:stretch>
                </pic:blipFill>
                <pic:spPr>
                  <a:xfrm>
                    <a:off x="0" y="0"/>
                    <a:ext cx="2133600" cy="861695"/>
                  </a:xfrm>
                  <a:prstGeom prst="rect">
                    <a:avLst/>
                  </a:prstGeom>
                  <a:ln/>
                </pic:spPr>
              </pic:pic>
            </a:graphicData>
          </a:graphic>
        </wp:anchor>
      </w:drawing>
    </w:r>
  </w:p>
  <w:p w14:paraId="06EE6900" w14:textId="6B6E82F2" w:rsidR="009F4149" w:rsidRDefault="00FE6B9D">
    <w:pPr>
      <w:pBdr>
        <w:top w:val="nil"/>
        <w:left w:val="nil"/>
        <w:bottom w:val="nil"/>
        <w:right w:val="nil"/>
        <w:between w:val="nil"/>
      </w:pBdr>
      <w:tabs>
        <w:tab w:val="center" w:pos="4419"/>
        <w:tab w:val="right" w:pos="8838"/>
      </w:tabs>
      <w:rPr>
        <w:rFonts w:ascii="Calibri" w:eastAsia="Calibri" w:hAnsi="Calibri" w:cs="Calibri"/>
        <w:color w:val="000000"/>
      </w:rPr>
    </w:pPr>
    <w:r>
      <w:rPr>
        <w:rFonts w:ascii="Calibri" w:eastAsia="Calibri" w:hAnsi="Calibri" w:cs="Calibri"/>
        <w:color w:val="000000"/>
      </w:rPr>
      <w:t xml:space="preserve">Página </w:t>
    </w:r>
    <w:r>
      <w:rPr>
        <w:rFonts w:ascii="Calibri" w:eastAsia="Calibri" w:hAnsi="Calibri" w:cs="Calibri"/>
        <w:b/>
        <w:bCs/>
        <w:color w:val="000000"/>
      </w:rPr>
      <w:fldChar w:fldCharType="begin"/>
    </w:r>
    <w:r>
      <w:rPr>
        <w:rFonts w:ascii="Calibri" w:eastAsia="Calibri" w:hAnsi="Calibri" w:cs="Calibri"/>
        <w:b/>
        <w:bCs/>
        <w:color w:val="000000"/>
      </w:rPr>
      <w:instrText>PAGE</w:instrText>
    </w:r>
    <w:r>
      <w:rPr>
        <w:rFonts w:ascii="Calibri" w:eastAsia="Calibri" w:hAnsi="Calibri" w:cs="Calibri"/>
        <w:b/>
        <w:bCs/>
        <w:color w:val="000000"/>
      </w:rPr>
      <w:fldChar w:fldCharType="separate"/>
    </w:r>
    <w:r w:rsidR="00D81754">
      <w:rPr>
        <w:rFonts w:ascii="Calibri" w:eastAsia="Calibri" w:hAnsi="Calibri" w:cs="Calibri"/>
        <w:b/>
        <w:bCs/>
        <w:noProof/>
        <w:color w:val="000000"/>
      </w:rPr>
      <w:t>1</w:t>
    </w:r>
    <w:r>
      <w:rPr>
        <w:rFonts w:ascii="Calibri" w:eastAsia="Calibri" w:hAnsi="Calibri" w:cs="Calibri"/>
        <w:b/>
        <w:bCs/>
        <w:color w:val="000000"/>
      </w:rPr>
      <w:fldChar w:fldCharType="end"/>
    </w:r>
    <w:r>
      <w:rPr>
        <w:rFonts w:ascii="Calibri" w:eastAsia="Calibri" w:hAnsi="Calibri" w:cs="Calibri"/>
        <w:color w:val="000000"/>
      </w:rPr>
      <w:t xml:space="preserve"> de </w:t>
    </w:r>
    <w:r>
      <w:rPr>
        <w:rFonts w:ascii="Calibri" w:eastAsia="Calibri" w:hAnsi="Calibri" w:cs="Calibri"/>
        <w:b/>
        <w:bCs/>
        <w:color w:val="000000"/>
      </w:rPr>
      <w:fldChar w:fldCharType="begin"/>
    </w:r>
    <w:r>
      <w:rPr>
        <w:rFonts w:ascii="Calibri" w:eastAsia="Calibri" w:hAnsi="Calibri" w:cs="Calibri"/>
        <w:b/>
        <w:bCs/>
        <w:color w:val="000000"/>
      </w:rPr>
      <w:instrText>NUMPAGES</w:instrText>
    </w:r>
    <w:r>
      <w:rPr>
        <w:rFonts w:ascii="Calibri" w:eastAsia="Calibri" w:hAnsi="Calibri" w:cs="Calibri"/>
        <w:b/>
        <w:bCs/>
        <w:color w:val="000000"/>
      </w:rPr>
      <w:fldChar w:fldCharType="separate"/>
    </w:r>
    <w:r w:rsidR="00D81754">
      <w:rPr>
        <w:rFonts w:ascii="Calibri" w:eastAsia="Calibri" w:hAnsi="Calibri" w:cs="Calibri"/>
        <w:b/>
        <w:bCs/>
        <w:noProof/>
        <w:color w:val="000000"/>
      </w:rPr>
      <w:t>2</w:t>
    </w:r>
    <w:r>
      <w:rPr>
        <w:rFonts w:ascii="Calibri" w:eastAsia="Calibri" w:hAnsi="Calibri" w:cs="Calibri"/>
        <w:b/>
        <w:bCs/>
        <w:color w:val="000000"/>
      </w:rPr>
      <w:fldChar w:fldCharType="end"/>
    </w:r>
  </w:p>
  <w:p w14:paraId="06EE6901" w14:textId="77777777" w:rsidR="009F4149" w:rsidRDefault="00FE6B9D">
    <w:pPr>
      <w:pBdr>
        <w:top w:val="nil"/>
        <w:left w:val="nil"/>
        <w:bottom w:val="nil"/>
        <w:right w:val="nil"/>
        <w:between w:val="nil"/>
      </w:pBdr>
      <w:tabs>
        <w:tab w:val="center" w:pos="4419"/>
        <w:tab w:val="right" w:pos="8838"/>
      </w:tabs>
      <w:rPr>
        <w:rFonts w:ascii="Arial" w:eastAsia="Arial" w:hAnsi="Arial" w:cs="Arial"/>
        <w:b/>
        <w:bCs/>
        <w:color w:val="000000"/>
        <w:sz w:val="14"/>
        <w:szCs w:val="14"/>
      </w:rPr>
    </w:pPr>
    <w:r>
      <w:rPr>
        <w:rFonts w:ascii="Arial" w:eastAsia="Arial" w:hAnsi="Arial" w:cs="Arial"/>
        <w:color w:val="000000"/>
        <w:sz w:val="16"/>
        <w:szCs w:val="16"/>
      </w:rPr>
      <w:t xml:space="preserve">Servicio al ciudadano: Carrera 13 No. 52-13       </w:t>
    </w:r>
  </w:p>
  <w:p w14:paraId="06EE6902" w14:textId="77777777" w:rsidR="009F4149" w:rsidRDefault="00FE6B9D">
    <w:pPr>
      <w:pBdr>
        <w:top w:val="nil"/>
        <w:left w:val="nil"/>
        <w:bottom w:val="nil"/>
        <w:right w:val="nil"/>
        <w:between w:val="nil"/>
      </w:pBdr>
      <w:tabs>
        <w:tab w:val="center" w:pos="4419"/>
        <w:tab w:val="right" w:pos="8838"/>
      </w:tabs>
      <w:rPr>
        <w:rFonts w:ascii="Arial" w:eastAsia="Arial" w:hAnsi="Arial" w:cs="Arial"/>
        <w:color w:val="000000"/>
        <w:sz w:val="16"/>
        <w:szCs w:val="16"/>
      </w:rPr>
    </w:pPr>
    <w:r>
      <w:rPr>
        <w:rFonts w:ascii="Arial" w:eastAsia="Arial" w:hAnsi="Arial" w:cs="Arial"/>
        <w:color w:val="000000"/>
        <w:sz w:val="16"/>
        <w:szCs w:val="16"/>
      </w:rPr>
      <w:t xml:space="preserve">Sede Principal: Calle 52 No. 13-64                     </w:t>
    </w:r>
    <w:r>
      <w:rPr>
        <w:noProof/>
      </w:rPr>
      <mc:AlternateContent>
        <mc:Choice Requires="wps">
          <w:drawing>
            <wp:anchor distT="45720" distB="45720" distL="114300" distR="114300" simplePos="0" relativeHeight="251660288" behindDoc="0" locked="0" layoutInCell="1" hidden="0" allowOverlap="1" wp14:anchorId="06EE690D" wp14:editId="06EE690E">
              <wp:simplePos x="0" y="0"/>
              <wp:positionH relativeFrom="column">
                <wp:posOffset>5189539</wp:posOffset>
              </wp:positionH>
              <wp:positionV relativeFrom="paragraph">
                <wp:posOffset>87313</wp:posOffset>
              </wp:positionV>
              <wp:extent cx="1069974" cy="727709"/>
              <wp:effectExtent l="0" t="0" r="0" b="0"/>
              <wp:wrapSquare wrapText="bothSides" distT="45720" distB="45720" distL="114300" distR="114300"/>
              <wp:docPr id="1725787590" name="Rectángulo 1725787590"/>
              <wp:cNvGraphicFramePr/>
              <a:graphic xmlns:a="http://schemas.openxmlformats.org/drawingml/2006/main">
                <a:graphicData uri="http://schemas.microsoft.com/office/word/2010/wordprocessingShape">
                  <wps:wsp>
                    <wps:cNvSpPr/>
                    <wps:spPr>
                      <a:xfrm>
                        <a:off x="4825301" y="3430433"/>
                        <a:ext cx="1041399" cy="699134"/>
                      </a:xfrm>
                      <a:prstGeom prst="rect">
                        <a:avLst/>
                      </a:prstGeom>
                      <a:solidFill>
                        <a:srgbClr val="FFFFFF"/>
                      </a:solidFill>
                      <a:ln w="9525" cap="flat" cmpd="sng">
                        <a:solidFill>
                          <a:schemeClr val="lt1"/>
                        </a:solidFill>
                        <a:prstDash val="solid"/>
                        <a:miter lim="800000"/>
                        <a:headEnd type="none" w="sm" len="sm"/>
                        <a:tailEnd type="none" w="sm" len="sm"/>
                      </a:ln>
                    </wps:spPr>
                    <wps:txbx>
                      <w:txbxContent>
                        <w:p w14:paraId="06EE690F" w14:textId="77777777" w:rsidR="009F4149" w:rsidRDefault="00FE6B9D">
                          <w:pPr>
                            <w:jc w:val="center"/>
                            <w:textDirection w:val="btLr"/>
                          </w:pPr>
                          <w:r>
                            <w:rPr>
                              <w:rFonts w:ascii="Arial" w:eastAsia="Arial" w:hAnsi="Arial" w:cs="Arial"/>
                              <w:color w:val="000000"/>
                              <w:sz w:val="14"/>
                            </w:rPr>
                            <w:t>PG02-PL03 V2</w:t>
                          </w:r>
                        </w:p>
                      </w:txbxContent>
                    </wps:txbx>
                    <wps:bodyPr spcFirstLastPara="1" wrap="square" lIns="91425" tIns="45700" rIns="91425" bIns="45700" anchor="t" anchorCtr="0">
                      <a:noAutofit/>
                    </wps:bodyPr>
                  </wps:wsp>
                </a:graphicData>
              </a:graphic>
            </wp:anchor>
          </w:drawing>
        </mc:Choice>
        <mc:Fallback>
          <w:pict>
            <v:rect w14:anchorId="06EE690D" id="Rectángulo 1725787590" o:spid="_x0000_s1026" style="position:absolute;margin-left:408.65pt;margin-top:6.9pt;width:84.25pt;height:57.3pt;z-index:251660288;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" strokecolor="white [3201]">
              <v:stroke startarrowwidth="narrow" startarrowlength="short" endarrowwidth="narrow" endarrowlength="short"/>
              <v:textbox inset="2.53958mm,1.2694mm,2.53958mm,1.2694mm">
                <w:txbxContent>
                  <w:p w14:paraId="06EE690F" w14:textId="77777777" w:rsidR="009F4149" w:rsidRDefault="00FE6B9D">
                    <w:pPr>
                      <w:jc w:val="center"/>
                      <w:textDirection w:val="btLr"/>
                    </w:pPr>
                    <w:r>
                      <w:rPr>
                        <w:rFonts w:ascii="Arial" w:eastAsia="Arial" w:hAnsi="Arial" w:cs="Arial"/>
                        <w:color w:val="000000"/>
                        <w:sz w:val="14"/>
                      </w:rPr>
                      <w:t>PG02-PL03 V2</w:t>
                    </w:r>
                  </w:p>
                </w:txbxContent>
              </v:textbox>
              <w10:wrap type="square"/>
            </v:rect>
          </w:pict>
        </mc:Fallback>
      </mc:AlternateContent>
    </w:r>
  </w:p>
  <w:p w14:paraId="06EE6903" w14:textId="77777777" w:rsidR="009F4149" w:rsidRDefault="00FE6B9D">
    <w:pPr>
      <w:pBdr>
        <w:top w:val="nil"/>
        <w:left w:val="nil"/>
        <w:bottom w:val="nil"/>
        <w:right w:val="nil"/>
        <w:between w:val="nil"/>
      </w:pBdr>
      <w:tabs>
        <w:tab w:val="center" w:pos="4419"/>
        <w:tab w:val="right" w:pos="8838"/>
      </w:tabs>
      <w:rPr>
        <w:rFonts w:ascii="Arial" w:eastAsia="Arial" w:hAnsi="Arial" w:cs="Arial"/>
        <w:color w:val="000000"/>
        <w:sz w:val="16"/>
        <w:szCs w:val="16"/>
      </w:rPr>
    </w:pPr>
    <w:r>
      <w:rPr>
        <w:rFonts w:ascii="Arial" w:eastAsia="Arial" w:hAnsi="Arial" w:cs="Arial"/>
        <w:color w:val="000000"/>
        <w:sz w:val="16"/>
        <w:szCs w:val="16"/>
      </w:rPr>
      <w:t>Teléfono: 601-3581600</w:t>
    </w:r>
  </w:p>
  <w:p w14:paraId="06EE6904" w14:textId="77777777" w:rsidR="009F4149" w:rsidRDefault="00FE6B9D">
    <w:pPr>
      <w:pBdr>
        <w:top w:val="nil"/>
        <w:left w:val="nil"/>
        <w:bottom w:val="nil"/>
        <w:right w:val="nil"/>
        <w:between w:val="nil"/>
      </w:pBdr>
      <w:tabs>
        <w:tab w:val="center" w:pos="4419"/>
        <w:tab w:val="right" w:pos="8838"/>
      </w:tabs>
      <w:rPr>
        <w:rFonts w:ascii="Arial" w:eastAsia="Arial" w:hAnsi="Arial" w:cs="Arial"/>
        <w:color w:val="000000"/>
        <w:sz w:val="16"/>
        <w:szCs w:val="16"/>
      </w:rPr>
    </w:pPr>
    <w:r>
      <w:rPr>
        <w:rFonts w:ascii="Arial" w:eastAsia="Arial" w:hAnsi="Arial" w:cs="Arial"/>
        <w:color w:val="000000"/>
        <w:sz w:val="16"/>
        <w:szCs w:val="16"/>
      </w:rPr>
      <w:t xml:space="preserve">Código Postal: 110231 </w:t>
    </w:r>
  </w:p>
  <w:p w14:paraId="06EE6905" w14:textId="77777777" w:rsidR="009F4149" w:rsidRDefault="009F4149">
    <w:pPr>
      <w:pBdr>
        <w:top w:val="nil"/>
        <w:left w:val="nil"/>
        <w:bottom w:val="nil"/>
        <w:right w:val="nil"/>
        <w:between w:val="nil"/>
      </w:pBdr>
      <w:tabs>
        <w:tab w:val="center" w:pos="4419"/>
        <w:tab w:val="right" w:pos="8838"/>
      </w:tabs>
      <w:rPr>
        <w:rFonts w:ascii="Arial" w:eastAsia="Arial" w:hAnsi="Arial" w:cs="Arial"/>
        <w:color w:val="000000"/>
        <w:sz w:val="16"/>
        <w:szCs w:val="16"/>
      </w:rPr>
    </w:pPr>
    <w:hyperlink r:id="rId2">
      <w:r>
        <w:rPr>
          <w:rFonts w:ascii="Arial" w:eastAsia="Arial" w:hAnsi="Arial" w:cs="Arial"/>
          <w:color w:val="0000FF"/>
          <w:sz w:val="16"/>
          <w:szCs w:val="16"/>
          <w:u w:val="single"/>
        </w:rPr>
        <w:t>www.habitatbogota.gov.co</w:t>
      </w:r>
    </w:hyperlink>
    <w:r w:rsidR="00FE6B9D">
      <w:rPr>
        <w:rFonts w:ascii="Arial" w:eastAsia="Arial" w:hAnsi="Arial" w:cs="Arial"/>
        <w:color w:val="000000"/>
        <w:sz w:val="16"/>
        <w:szCs w:val="16"/>
      </w:rPr>
      <w:t xml:space="preserve">                 </w:t>
    </w:r>
  </w:p>
  <w:p w14:paraId="06EE6906" w14:textId="77777777" w:rsidR="009F4149" w:rsidRDefault="009F4149">
    <w:pPr>
      <w:pBdr>
        <w:top w:val="nil"/>
        <w:left w:val="nil"/>
        <w:bottom w:val="nil"/>
        <w:right w:val="nil"/>
        <w:between w:val="nil"/>
      </w:pBdr>
      <w:tabs>
        <w:tab w:val="center" w:pos="4419"/>
        <w:tab w:val="right" w:pos="8838"/>
      </w:tabs>
      <w:rPr>
        <w:rFonts w:ascii="Calibri" w:eastAsia="Calibri" w:hAnsi="Calibri" w:cs="Calibri"/>
        <w:color w:val="000000"/>
        <w:sz w:val="16"/>
        <w:szCs w:val="16"/>
      </w:rPr>
    </w:pPr>
  </w:p>
  <w:p w14:paraId="06EE6907" w14:textId="77777777" w:rsidR="009F4149" w:rsidRDefault="009F4149">
    <w:pPr>
      <w:pBdr>
        <w:top w:val="nil"/>
        <w:left w:val="nil"/>
        <w:bottom w:val="nil"/>
        <w:right w:val="nil"/>
        <w:between w:val="nil"/>
      </w:pBdr>
      <w:tabs>
        <w:tab w:val="center" w:pos="4419"/>
        <w:tab w:val="right" w:pos="8838"/>
      </w:tabs>
      <w:ind w:right="360"/>
      <w:rPr>
        <w:rFonts w:ascii="Calibri" w:eastAsia="Calibri" w:hAnsi="Calibri" w:cs="Calibri"/>
        <w:color w:val="000000"/>
        <w:sz w:val="22"/>
        <w:szCs w:val="22"/>
      </w:rPr>
    </w:pPr>
  </w:p>
  <w:p w14:paraId="06EE6908" w14:textId="77777777" w:rsidR="009F4149" w:rsidRDefault="00FE6B9D">
    <w:pPr>
      <w:pBdr>
        <w:top w:val="nil"/>
        <w:left w:val="nil"/>
        <w:bottom w:val="nil"/>
        <w:right w:val="nil"/>
        <w:between w:val="nil"/>
      </w:pBdr>
      <w:tabs>
        <w:tab w:val="center" w:pos="4419"/>
        <w:tab w:val="right" w:pos="8838"/>
      </w:tabs>
      <w:rPr>
        <w:rFonts w:ascii="Calibri" w:eastAsia="Calibri" w:hAnsi="Calibri" w:cs="Calibri"/>
        <w:color w:val="000000"/>
        <w:sz w:val="22"/>
        <w:szCs w:val="22"/>
      </w:rPr>
    </w:pPr>
    <w:r>
      <w:rPr>
        <w:rFonts w:ascii="Calibri" w:eastAsia="Calibri" w:hAnsi="Calibri" w:cs="Calibri"/>
        <w:color w:val="000000"/>
        <w:sz w:val="22"/>
        <w:szCs w:val="22"/>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E5A34C7" w14:textId="77777777" w:rsidR="00BF6B1E" w:rsidRDefault="00BF6B1E">
      <w:r>
        <w:separator/>
      </w:r>
    </w:p>
  </w:footnote>
  <w:footnote w:type="continuationSeparator" w:id="0">
    <w:p w14:paraId="25D8D67A" w14:textId="77777777" w:rsidR="00BF6B1E" w:rsidRDefault="00BF6B1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EE68F8" w14:textId="77777777" w:rsidR="009F4149" w:rsidRDefault="009F4149">
    <w:pPr>
      <w:pBdr>
        <w:top w:val="nil"/>
        <w:left w:val="nil"/>
        <w:bottom w:val="nil"/>
        <w:right w:val="nil"/>
        <w:between w:val="nil"/>
      </w:pBdr>
      <w:tabs>
        <w:tab w:val="center" w:pos="4419"/>
        <w:tab w:val="right" w:pos="8838"/>
      </w:tabs>
      <w:jc w:val="center"/>
      <w:rPr>
        <w:rFonts w:ascii="Calibri" w:eastAsia="Calibri" w:hAnsi="Calibri" w:cs="Calibri"/>
        <w:color w:val="000000"/>
        <w:sz w:val="22"/>
        <w:szCs w:val="22"/>
      </w:rPr>
    </w:pPr>
  </w:p>
  <w:p w14:paraId="06EE68F9" w14:textId="77777777" w:rsidR="009F4149" w:rsidRDefault="009F4149">
    <w:pPr>
      <w:pBdr>
        <w:top w:val="nil"/>
        <w:left w:val="nil"/>
        <w:bottom w:val="nil"/>
        <w:right w:val="nil"/>
        <w:between w:val="nil"/>
      </w:pBdr>
      <w:tabs>
        <w:tab w:val="center" w:pos="4419"/>
        <w:tab w:val="right" w:pos="8838"/>
      </w:tabs>
      <w:jc w:val="center"/>
      <w:rPr>
        <w:rFonts w:ascii="Calibri" w:eastAsia="Calibri" w:hAnsi="Calibri" w:cs="Calibri"/>
        <w:color w:val="000000"/>
        <w:sz w:val="22"/>
        <w:szCs w:val="22"/>
      </w:rPr>
    </w:pPr>
  </w:p>
  <w:p w14:paraId="06EE68FA" w14:textId="77777777" w:rsidR="009F4149" w:rsidRDefault="00FE6B9D">
    <w:pPr>
      <w:jc w:val="center"/>
      <w:rPr>
        <w:rFonts w:ascii="Arial" w:eastAsia="Arial" w:hAnsi="Arial" w:cs="Arial"/>
        <w:i/>
        <w:iCs/>
        <w:sz w:val="24"/>
        <w:szCs w:val="24"/>
      </w:rPr>
    </w:pPr>
    <w:r>
      <w:rPr>
        <w:rFonts w:ascii="Arial" w:eastAsia="Arial" w:hAnsi="Arial" w:cs="Arial"/>
        <w:b/>
        <w:bCs/>
        <w:sz w:val="24"/>
        <w:szCs w:val="24"/>
      </w:rPr>
      <w:t xml:space="preserve">RESOLUCIÓN No. XXXX DEL XXX DE XXXX DE 2026  </w:t>
    </w:r>
  </w:p>
  <w:p w14:paraId="06EE68FB" w14:textId="77777777" w:rsidR="009F4149" w:rsidRDefault="00FE6B9D">
    <w:pPr>
      <w:jc w:val="center"/>
      <w:rPr>
        <w:rFonts w:ascii="Arial" w:eastAsia="Arial" w:hAnsi="Arial" w:cs="Arial"/>
        <w:i/>
        <w:iCs/>
        <w:sz w:val="24"/>
        <w:szCs w:val="24"/>
      </w:rPr>
    </w:pPr>
    <w:r>
      <w:rPr>
        <w:rFonts w:ascii="Arial" w:eastAsia="Arial" w:hAnsi="Arial" w:cs="Arial"/>
        <w:i/>
        <w:iCs/>
        <w:sz w:val="24"/>
        <w:szCs w:val="24"/>
      </w:rPr>
      <w:t xml:space="preserve">“Por la cual se culmina una actuación administrativa”   </w:t>
    </w:r>
  </w:p>
  <w:p w14:paraId="06EE68FC" w14:textId="77777777" w:rsidR="009F4149" w:rsidRDefault="00FE6B9D">
    <w:pPr>
      <w:pBdr>
        <w:top w:val="nil"/>
        <w:left w:val="nil"/>
        <w:bottom w:val="nil"/>
        <w:right w:val="nil"/>
        <w:between w:val="nil"/>
      </w:pBdr>
      <w:tabs>
        <w:tab w:val="center" w:pos="4419"/>
        <w:tab w:val="right" w:pos="8838"/>
      </w:tabs>
      <w:jc w:val="center"/>
      <w:rPr>
        <w:rFonts w:ascii="Calibri" w:eastAsia="Calibri" w:hAnsi="Calibri" w:cs="Calibri"/>
        <w:color w:val="000000"/>
        <w:sz w:val="22"/>
        <w:szCs w:val="22"/>
      </w:rPr>
    </w:pPr>
    <w:r>
      <w:rPr>
        <w:rFonts w:ascii="Calibri" w:eastAsia="Calibri" w:hAnsi="Calibri" w:cs="Calibri"/>
        <w:noProof/>
        <w:color w:val="000000"/>
        <w:sz w:val="22"/>
        <w:szCs w:val="22"/>
      </w:rPr>
      <w:drawing>
        <wp:anchor distT="0" distB="0" distL="114300" distR="114300" simplePos="0" relativeHeight="251658240" behindDoc="0" locked="0" layoutInCell="1" hidden="0" allowOverlap="1" wp14:anchorId="06EE6909" wp14:editId="06EE690A">
          <wp:simplePos x="0" y="0"/>
          <wp:positionH relativeFrom="margin">
            <wp:align>center</wp:align>
          </wp:positionH>
          <wp:positionV relativeFrom="page">
            <wp:posOffset>243840</wp:posOffset>
          </wp:positionV>
          <wp:extent cx="1333500" cy="469900"/>
          <wp:effectExtent l="0" t="0" r="0" b="0"/>
          <wp:wrapSquare wrapText="bothSides" distT="0" distB="0" distL="114300" distR="114300"/>
          <wp:docPr id="172578759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1333500" cy="469900"/>
                  </a:xfrm>
                  <a:prstGeom prst="rect">
                    <a:avLst/>
                  </a:prstGeom>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307FE8"/>
    <w:multiLevelType w:val="multilevel"/>
    <w:tmpl w:val="2CA07DF2"/>
    <w:lvl w:ilvl="0">
      <w:numFmt w:val="bullet"/>
      <w:lvlText w:val="●"/>
      <w:lvlJc w:val="left"/>
      <w:pPr>
        <w:ind w:left="0" w:firstLine="0"/>
      </w:pPr>
      <w:rPr>
        <w:rFonts w:ascii="Noto Sans Symbols" w:eastAsia="Noto Sans Symbols" w:hAnsi="Noto Sans Symbols" w:cs="Noto Sans Symbols"/>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1" w15:restartNumberingAfterBreak="0">
    <w:nsid w:val="3B016791"/>
    <w:multiLevelType w:val="multilevel"/>
    <w:tmpl w:val="CEA8AFE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366368001">
    <w:abstractNumId w:val="0"/>
  </w:num>
  <w:num w:numId="2" w16cid:durableId="102598509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F4149"/>
    <w:rsid w:val="000252DE"/>
    <w:rsid w:val="000320FD"/>
    <w:rsid w:val="0004740A"/>
    <w:rsid w:val="00082FBB"/>
    <w:rsid w:val="00090677"/>
    <w:rsid w:val="000A00DE"/>
    <w:rsid w:val="000D2D47"/>
    <w:rsid w:val="000D3B66"/>
    <w:rsid w:val="000E45A9"/>
    <w:rsid w:val="000F62C5"/>
    <w:rsid w:val="0010170E"/>
    <w:rsid w:val="00127BE4"/>
    <w:rsid w:val="00136880"/>
    <w:rsid w:val="00146665"/>
    <w:rsid w:val="00146F82"/>
    <w:rsid w:val="001A2CB5"/>
    <w:rsid w:val="001C23A5"/>
    <w:rsid w:val="001F0E58"/>
    <w:rsid w:val="001F61B4"/>
    <w:rsid w:val="0022720E"/>
    <w:rsid w:val="002450C3"/>
    <w:rsid w:val="00260000"/>
    <w:rsid w:val="0027154E"/>
    <w:rsid w:val="00285526"/>
    <w:rsid w:val="003439C4"/>
    <w:rsid w:val="00347276"/>
    <w:rsid w:val="003E2019"/>
    <w:rsid w:val="003F2D82"/>
    <w:rsid w:val="0042424E"/>
    <w:rsid w:val="00443804"/>
    <w:rsid w:val="004E78BF"/>
    <w:rsid w:val="004F0615"/>
    <w:rsid w:val="005038C5"/>
    <w:rsid w:val="00511EBC"/>
    <w:rsid w:val="005214C5"/>
    <w:rsid w:val="00595070"/>
    <w:rsid w:val="006063F6"/>
    <w:rsid w:val="00641229"/>
    <w:rsid w:val="00693EB1"/>
    <w:rsid w:val="006A5D13"/>
    <w:rsid w:val="006A74D1"/>
    <w:rsid w:val="007005EC"/>
    <w:rsid w:val="00726FF9"/>
    <w:rsid w:val="007405EF"/>
    <w:rsid w:val="0074152F"/>
    <w:rsid w:val="00750806"/>
    <w:rsid w:val="00755997"/>
    <w:rsid w:val="007907CE"/>
    <w:rsid w:val="007B401F"/>
    <w:rsid w:val="007C447C"/>
    <w:rsid w:val="007D3063"/>
    <w:rsid w:val="00833401"/>
    <w:rsid w:val="008718C5"/>
    <w:rsid w:val="0087200C"/>
    <w:rsid w:val="008E6CD4"/>
    <w:rsid w:val="00906439"/>
    <w:rsid w:val="00923191"/>
    <w:rsid w:val="009A3A72"/>
    <w:rsid w:val="009B2ED0"/>
    <w:rsid w:val="009C5C31"/>
    <w:rsid w:val="009D1F78"/>
    <w:rsid w:val="009E622F"/>
    <w:rsid w:val="009F4149"/>
    <w:rsid w:val="00A324AE"/>
    <w:rsid w:val="00A66B49"/>
    <w:rsid w:val="00AA3108"/>
    <w:rsid w:val="00AB6188"/>
    <w:rsid w:val="00AD18D3"/>
    <w:rsid w:val="00B07211"/>
    <w:rsid w:val="00BC3C3C"/>
    <w:rsid w:val="00BD604C"/>
    <w:rsid w:val="00BF48E5"/>
    <w:rsid w:val="00BF6B1E"/>
    <w:rsid w:val="00C03403"/>
    <w:rsid w:val="00C13D87"/>
    <w:rsid w:val="00C9026D"/>
    <w:rsid w:val="00CC745B"/>
    <w:rsid w:val="00CE3D50"/>
    <w:rsid w:val="00D27441"/>
    <w:rsid w:val="00D27AAB"/>
    <w:rsid w:val="00D41538"/>
    <w:rsid w:val="00D64A0B"/>
    <w:rsid w:val="00D72055"/>
    <w:rsid w:val="00D76660"/>
    <w:rsid w:val="00D81754"/>
    <w:rsid w:val="00D84FE0"/>
    <w:rsid w:val="00D8644D"/>
    <w:rsid w:val="00D8689C"/>
    <w:rsid w:val="00DA7DB3"/>
    <w:rsid w:val="00DB53CD"/>
    <w:rsid w:val="00DB63BC"/>
    <w:rsid w:val="00E12BDB"/>
    <w:rsid w:val="00E14A58"/>
    <w:rsid w:val="00EB6017"/>
    <w:rsid w:val="00EC0FA7"/>
    <w:rsid w:val="00ED270A"/>
    <w:rsid w:val="00F363A7"/>
    <w:rsid w:val="00F45A2C"/>
    <w:rsid w:val="00F5605A"/>
    <w:rsid w:val="00F6424B"/>
    <w:rsid w:val="00F647A6"/>
    <w:rsid w:val="00FA4766"/>
    <w:rsid w:val="00FB43CB"/>
    <w:rsid w:val="00FC300B"/>
    <w:rsid w:val="00FD101F"/>
    <w:rsid w:val="00FE6B9D"/>
    <w:rsid w:val="00FF4A0E"/>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6EE68A2"/>
  <w15:docId w15:val="{94BB5C7B-73E3-456B-B40A-77FE26418C4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s" w:eastAsia="es-CO"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keepLines/>
      <w:spacing w:before="360" w:after="80" w:line="278" w:lineRule="auto"/>
      <w:outlineLvl w:val="0"/>
    </w:pPr>
    <w:rPr>
      <w:sz w:val="24"/>
      <w:szCs w:val="24"/>
    </w:rPr>
  </w:style>
  <w:style w:type="paragraph" w:styleId="Ttulo2">
    <w:name w:val="heading 2"/>
    <w:basedOn w:val="Normal"/>
    <w:next w:val="Normal"/>
    <w:uiPriority w:val="9"/>
    <w:semiHidden/>
    <w:unhideWhenUsed/>
    <w:qFormat/>
    <w:pPr>
      <w:keepNext/>
      <w:keepLines/>
      <w:spacing w:before="160" w:after="80" w:line="278" w:lineRule="auto"/>
      <w:outlineLvl w:val="1"/>
    </w:pPr>
    <w:rPr>
      <w:sz w:val="24"/>
      <w:szCs w:val="24"/>
    </w:rPr>
  </w:style>
  <w:style w:type="paragraph" w:styleId="Ttulo3">
    <w:name w:val="heading 3"/>
    <w:basedOn w:val="Normal"/>
    <w:next w:val="Normal"/>
    <w:uiPriority w:val="9"/>
    <w:semiHidden/>
    <w:unhideWhenUsed/>
    <w:qFormat/>
    <w:pPr>
      <w:keepNext/>
      <w:keepLines/>
      <w:spacing w:before="160" w:after="80" w:line="278" w:lineRule="auto"/>
      <w:outlineLvl w:val="2"/>
    </w:pPr>
    <w:rPr>
      <w:sz w:val="24"/>
      <w:szCs w:val="24"/>
    </w:rPr>
  </w:style>
  <w:style w:type="paragraph" w:styleId="Ttulo4">
    <w:name w:val="heading 4"/>
    <w:basedOn w:val="Normal"/>
    <w:next w:val="Normal"/>
    <w:uiPriority w:val="9"/>
    <w:semiHidden/>
    <w:unhideWhenUsed/>
    <w:qFormat/>
    <w:pPr>
      <w:keepNext/>
      <w:keepLines/>
      <w:spacing w:before="80" w:after="40" w:line="278" w:lineRule="auto"/>
      <w:outlineLvl w:val="3"/>
    </w:pPr>
    <w:rPr>
      <w:i/>
      <w:iCs/>
      <w:color w:val="2F5496"/>
      <w:sz w:val="24"/>
      <w:szCs w:val="24"/>
    </w:rPr>
  </w:style>
  <w:style w:type="paragraph" w:styleId="Ttulo5">
    <w:name w:val="heading 5"/>
    <w:basedOn w:val="Normal"/>
    <w:next w:val="Normal"/>
    <w:uiPriority w:val="9"/>
    <w:semiHidden/>
    <w:unhideWhenUsed/>
    <w:qFormat/>
    <w:pPr>
      <w:keepNext/>
      <w:keepLines/>
      <w:spacing w:before="80" w:after="40" w:line="278" w:lineRule="auto"/>
      <w:outlineLvl w:val="4"/>
    </w:pPr>
    <w:rPr>
      <w:color w:val="2F5496"/>
      <w:sz w:val="24"/>
      <w:szCs w:val="24"/>
    </w:rPr>
  </w:style>
  <w:style w:type="paragraph" w:styleId="Ttulo6">
    <w:name w:val="heading 6"/>
    <w:basedOn w:val="Normal"/>
    <w:next w:val="Normal"/>
    <w:uiPriority w:val="9"/>
    <w:semiHidden/>
    <w:unhideWhenUsed/>
    <w:qFormat/>
    <w:pPr>
      <w:keepNext/>
      <w:keepLines/>
      <w:spacing w:before="40" w:line="278" w:lineRule="auto"/>
      <w:outlineLvl w:val="5"/>
    </w:pPr>
    <w:rPr>
      <w:i/>
      <w:iCs/>
      <w:color w:val="595959"/>
      <w:sz w:val="24"/>
      <w:szCs w:val="24"/>
    </w:rPr>
  </w:style>
  <w:style w:type="paragraph" w:styleId="Ttulo7">
    <w:name w:val="heading 7"/>
    <w:basedOn w:val="Normal"/>
    <w:next w:val="Normal"/>
    <w:link w:val="Ttulo7Car"/>
    <w:uiPriority w:val="9"/>
    <w:semiHidden/>
    <w:unhideWhenUsed/>
    <w:qFormat/>
    <w:rsid w:val="0066560A"/>
    <w:pPr>
      <w:keepNext/>
      <w:keepLines/>
      <w:spacing w:before="40" w:line="278" w:lineRule="auto"/>
      <w:outlineLvl w:val="6"/>
    </w:pPr>
    <w:rPr>
      <w:rFonts w:eastAsiaTheme="majorEastAsia" w:cstheme="majorBidi"/>
      <w:color w:val="595959" w:themeColor="text1" w:themeTint="A6"/>
      <w:kern w:val="2"/>
      <w:sz w:val="24"/>
      <w:szCs w:val="24"/>
      <w:lang w:val="es-CO" w:eastAsia="en-US"/>
    </w:rPr>
  </w:style>
  <w:style w:type="paragraph" w:styleId="Ttulo8">
    <w:name w:val="heading 8"/>
    <w:basedOn w:val="Normal"/>
    <w:next w:val="Normal"/>
    <w:link w:val="Ttulo8Car"/>
    <w:uiPriority w:val="9"/>
    <w:semiHidden/>
    <w:unhideWhenUsed/>
    <w:qFormat/>
    <w:rsid w:val="0066560A"/>
    <w:pPr>
      <w:keepNext/>
      <w:keepLines/>
      <w:spacing w:line="278" w:lineRule="auto"/>
      <w:outlineLvl w:val="7"/>
    </w:pPr>
    <w:rPr>
      <w:rFonts w:eastAsiaTheme="majorEastAsia" w:cstheme="majorBidi"/>
      <w:i/>
      <w:iCs/>
      <w:color w:val="272727" w:themeColor="text1" w:themeTint="D8"/>
      <w:kern w:val="2"/>
      <w:sz w:val="24"/>
      <w:szCs w:val="24"/>
      <w:lang w:val="es-CO" w:eastAsia="en-US"/>
    </w:rPr>
  </w:style>
  <w:style w:type="paragraph" w:styleId="Ttulo9">
    <w:name w:val="heading 9"/>
    <w:basedOn w:val="Normal"/>
    <w:next w:val="Normal"/>
    <w:link w:val="Ttulo9Car"/>
    <w:uiPriority w:val="9"/>
    <w:semiHidden/>
    <w:unhideWhenUsed/>
    <w:qFormat/>
    <w:rsid w:val="0066560A"/>
    <w:pPr>
      <w:keepNext/>
      <w:keepLines/>
      <w:spacing w:line="278" w:lineRule="auto"/>
      <w:outlineLvl w:val="8"/>
    </w:pPr>
    <w:rPr>
      <w:rFonts w:eastAsiaTheme="majorEastAsia" w:cstheme="majorBidi"/>
      <w:color w:val="272727" w:themeColor="text1" w:themeTint="D8"/>
      <w:kern w:val="2"/>
      <w:sz w:val="24"/>
      <w:szCs w:val="24"/>
      <w:lang w:val="es-CO" w:eastAsia="en-U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spacing w:after="80"/>
    </w:pPr>
    <w:rPr>
      <w:rFonts w:ascii="Calibri" w:eastAsia="Calibri" w:hAnsi="Calibri" w:cs="Calibri"/>
      <w:sz w:val="56"/>
      <w:szCs w:val="56"/>
    </w:rPr>
  </w:style>
  <w:style w:type="table" w:customStyle="1" w:styleId="TableNormal0">
    <w:name w:val="TableNormal"/>
    <w:tblPr>
      <w:tblCellMar>
        <w:top w:w="100" w:type="dxa"/>
        <w:left w:w="100" w:type="dxa"/>
        <w:bottom w:w="100" w:type="dxa"/>
        <w:right w:w="100" w:type="dxa"/>
      </w:tblCellMar>
    </w:tblPr>
  </w:style>
  <w:style w:type="table" w:customStyle="1" w:styleId="TableNormal1">
    <w:name w:val="TableNormal"/>
    <w:tblPr>
      <w:tblCellMar>
        <w:top w:w="100" w:type="dxa"/>
        <w:left w:w="100" w:type="dxa"/>
        <w:bottom w:w="100" w:type="dxa"/>
        <w:right w:w="100" w:type="dxa"/>
      </w:tblCellMar>
    </w:tblPr>
  </w:style>
  <w:style w:type="paragraph" w:styleId="Encabezado">
    <w:name w:val="header"/>
    <w:aliases w:val="Car, Car,articulo"/>
    <w:basedOn w:val="Normal"/>
    <w:link w:val="EncabezadoCar"/>
    <w:uiPriority w:val="99"/>
    <w:unhideWhenUsed/>
    <w:rsid w:val="00CD44E5"/>
    <w:pPr>
      <w:tabs>
        <w:tab w:val="center" w:pos="4419"/>
        <w:tab w:val="right" w:pos="8838"/>
      </w:tabs>
    </w:pPr>
    <w:rPr>
      <w:rFonts w:asciiTheme="minorHAnsi" w:eastAsiaTheme="minorHAnsi" w:hAnsiTheme="minorHAnsi" w:cstheme="minorBidi"/>
      <w:sz w:val="22"/>
      <w:szCs w:val="22"/>
      <w:lang w:val="es-CO" w:eastAsia="en-US"/>
    </w:rPr>
  </w:style>
  <w:style w:type="character" w:customStyle="1" w:styleId="EncabezadoCar">
    <w:name w:val="Encabezado Car"/>
    <w:aliases w:val="Car Car, Car Car,articulo Car"/>
    <w:basedOn w:val="Fuentedeprrafopredeter"/>
    <w:link w:val="Encabezado"/>
    <w:uiPriority w:val="99"/>
    <w:rsid w:val="00CD44E5"/>
  </w:style>
  <w:style w:type="paragraph" w:styleId="Piedepgina">
    <w:name w:val="footer"/>
    <w:basedOn w:val="Normal"/>
    <w:link w:val="PiedepginaCar"/>
    <w:unhideWhenUsed/>
    <w:rsid w:val="00CD44E5"/>
    <w:pPr>
      <w:tabs>
        <w:tab w:val="center" w:pos="4419"/>
        <w:tab w:val="right" w:pos="8838"/>
      </w:tabs>
    </w:pPr>
    <w:rPr>
      <w:rFonts w:asciiTheme="minorHAnsi" w:eastAsiaTheme="minorHAnsi" w:hAnsiTheme="minorHAnsi" w:cstheme="minorBidi"/>
      <w:sz w:val="22"/>
      <w:szCs w:val="22"/>
      <w:lang w:val="es-CO" w:eastAsia="en-US"/>
    </w:rPr>
  </w:style>
  <w:style w:type="character" w:customStyle="1" w:styleId="PiedepginaCar">
    <w:name w:val="Pie de página Car"/>
    <w:basedOn w:val="Fuentedeprrafopredeter"/>
    <w:link w:val="Piedepgina"/>
    <w:rsid w:val="00CD44E5"/>
  </w:style>
  <w:style w:type="paragraph" w:styleId="Textodeglobo">
    <w:name w:val="Balloon Text"/>
    <w:basedOn w:val="Normal"/>
    <w:link w:val="TextodegloboCar"/>
    <w:uiPriority w:val="99"/>
    <w:semiHidden/>
    <w:unhideWhenUsed/>
    <w:rsid w:val="00CD44E5"/>
    <w:rPr>
      <w:rFonts w:ascii="Segoe UI" w:eastAsiaTheme="minorHAnsi" w:hAnsi="Segoe UI" w:cs="Segoe UI"/>
      <w:sz w:val="18"/>
      <w:szCs w:val="18"/>
      <w:lang w:val="es-CO" w:eastAsia="en-US"/>
    </w:rPr>
  </w:style>
  <w:style w:type="character" w:customStyle="1" w:styleId="TextodegloboCar">
    <w:name w:val="Texto de globo Car"/>
    <w:basedOn w:val="Fuentedeprrafopredeter"/>
    <w:link w:val="Textodeglobo"/>
    <w:uiPriority w:val="99"/>
    <w:semiHidden/>
    <w:rsid w:val="00CD44E5"/>
    <w:rPr>
      <w:rFonts w:ascii="Segoe UI" w:hAnsi="Segoe UI" w:cs="Segoe UI"/>
      <w:sz w:val="18"/>
      <w:szCs w:val="18"/>
    </w:rPr>
  </w:style>
  <w:style w:type="character" w:styleId="Hipervnculo">
    <w:name w:val="Hyperlink"/>
    <w:basedOn w:val="Fuentedeprrafopredeter"/>
    <w:rsid w:val="00CD44E5"/>
    <w:rPr>
      <w:color w:val="0000FF"/>
      <w:u w:val="single"/>
    </w:rPr>
  </w:style>
  <w:style w:type="table" w:styleId="Tablaconcuadrcula">
    <w:name w:val="Table Grid"/>
    <w:basedOn w:val="Tablanormal"/>
    <w:uiPriority w:val="39"/>
    <w:rsid w:val="00CD44E5"/>
    <w:rPr>
      <w:lang w:val="es-ES" w:eastAsia="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Nmerodepgina">
    <w:name w:val="page number"/>
    <w:basedOn w:val="Fuentedeprrafopredeter"/>
    <w:uiPriority w:val="99"/>
    <w:semiHidden/>
    <w:unhideWhenUsed/>
    <w:rsid w:val="0088181D"/>
  </w:style>
  <w:style w:type="character" w:customStyle="1" w:styleId="Ttulo1Car">
    <w:name w:val="Título 1 Car"/>
    <w:basedOn w:val="Fuentedeprrafopredeter"/>
    <w:uiPriority w:val="9"/>
    <w:rsid w:val="0066560A"/>
    <w:rPr>
      <w:rFonts w:ascii="Times New Roman" w:eastAsiaTheme="majorEastAsia" w:hAnsi="Times New Roman" w:cstheme="majorBidi"/>
      <w:kern w:val="2"/>
      <w:sz w:val="24"/>
      <w:szCs w:val="40"/>
    </w:rPr>
  </w:style>
  <w:style w:type="character" w:customStyle="1" w:styleId="Ttulo2Car">
    <w:name w:val="Título 2 Car"/>
    <w:basedOn w:val="Fuentedeprrafopredeter"/>
    <w:uiPriority w:val="9"/>
    <w:rsid w:val="0066560A"/>
    <w:rPr>
      <w:rFonts w:ascii="Times New Roman" w:eastAsiaTheme="majorEastAsia" w:hAnsi="Times New Roman" w:cstheme="majorBidi"/>
      <w:kern w:val="2"/>
      <w:sz w:val="24"/>
      <w:szCs w:val="32"/>
    </w:rPr>
  </w:style>
  <w:style w:type="character" w:customStyle="1" w:styleId="Ttulo3Car">
    <w:name w:val="Título 3 Car"/>
    <w:basedOn w:val="Fuentedeprrafopredeter"/>
    <w:uiPriority w:val="9"/>
    <w:rsid w:val="0066560A"/>
    <w:rPr>
      <w:rFonts w:ascii="Times New Roman" w:eastAsiaTheme="majorEastAsia" w:hAnsi="Times New Roman" w:cstheme="majorBidi"/>
      <w:kern w:val="2"/>
      <w:sz w:val="24"/>
      <w:szCs w:val="28"/>
    </w:rPr>
  </w:style>
  <w:style w:type="character" w:customStyle="1" w:styleId="Ttulo4Car">
    <w:name w:val="Título 4 Car"/>
    <w:basedOn w:val="Fuentedeprrafopredeter"/>
    <w:uiPriority w:val="9"/>
    <w:semiHidden/>
    <w:rsid w:val="0066560A"/>
    <w:rPr>
      <w:rFonts w:ascii="Times New Roman" w:eastAsiaTheme="majorEastAsia" w:hAnsi="Times New Roman" w:cstheme="majorBidi"/>
      <w:i/>
      <w:iCs/>
      <w:color w:val="2F5496" w:themeColor="accent1" w:themeShade="BF"/>
      <w:kern w:val="2"/>
      <w:sz w:val="24"/>
      <w:szCs w:val="24"/>
    </w:rPr>
  </w:style>
  <w:style w:type="character" w:customStyle="1" w:styleId="Ttulo5Car">
    <w:name w:val="Título 5 Car"/>
    <w:basedOn w:val="Fuentedeprrafopredeter"/>
    <w:uiPriority w:val="9"/>
    <w:semiHidden/>
    <w:rsid w:val="0066560A"/>
    <w:rPr>
      <w:rFonts w:ascii="Times New Roman" w:eastAsiaTheme="majorEastAsia" w:hAnsi="Times New Roman" w:cstheme="majorBidi"/>
      <w:color w:val="2F5496" w:themeColor="accent1" w:themeShade="BF"/>
      <w:kern w:val="2"/>
      <w:sz w:val="24"/>
      <w:szCs w:val="24"/>
    </w:rPr>
  </w:style>
  <w:style w:type="character" w:customStyle="1" w:styleId="Ttulo6Car">
    <w:name w:val="Título 6 Car"/>
    <w:basedOn w:val="Fuentedeprrafopredeter"/>
    <w:uiPriority w:val="9"/>
    <w:semiHidden/>
    <w:rsid w:val="0066560A"/>
    <w:rPr>
      <w:rFonts w:ascii="Times New Roman" w:eastAsiaTheme="majorEastAsia" w:hAnsi="Times New Roman" w:cstheme="majorBidi"/>
      <w:i/>
      <w:iCs/>
      <w:color w:val="595959" w:themeColor="text1" w:themeTint="A6"/>
      <w:kern w:val="2"/>
      <w:sz w:val="24"/>
      <w:szCs w:val="24"/>
    </w:rPr>
  </w:style>
  <w:style w:type="character" w:customStyle="1" w:styleId="Ttulo7Car">
    <w:name w:val="Título 7 Car"/>
    <w:basedOn w:val="Fuentedeprrafopredeter"/>
    <w:link w:val="Ttulo7"/>
    <w:uiPriority w:val="9"/>
    <w:semiHidden/>
    <w:rsid w:val="0066560A"/>
    <w:rPr>
      <w:rFonts w:ascii="Times New Roman" w:eastAsiaTheme="majorEastAsia" w:hAnsi="Times New Roman" w:cstheme="majorBidi"/>
      <w:color w:val="595959" w:themeColor="text1" w:themeTint="A6"/>
      <w:kern w:val="2"/>
      <w:sz w:val="24"/>
      <w:szCs w:val="24"/>
    </w:rPr>
  </w:style>
  <w:style w:type="character" w:customStyle="1" w:styleId="Ttulo8Car">
    <w:name w:val="Título 8 Car"/>
    <w:basedOn w:val="Fuentedeprrafopredeter"/>
    <w:link w:val="Ttulo8"/>
    <w:uiPriority w:val="9"/>
    <w:semiHidden/>
    <w:rsid w:val="0066560A"/>
    <w:rPr>
      <w:rFonts w:ascii="Times New Roman" w:eastAsiaTheme="majorEastAsia" w:hAnsi="Times New Roman" w:cstheme="majorBidi"/>
      <w:i/>
      <w:iCs/>
      <w:color w:val="272727" w:themeColor="text1" w:themeTint="D8"/>
      <w:kern w:val="2"/>
      <w:sz w:val="24"/>
      <w:szCs w:val="24"/>
    </w:rPr>
  </w:style>
  <w:style w:type="character" w:customStyle="1" w:styleId="Ttulo9Car">
    <w:name w:val="Título 9 Car"/>
    <w:basedOn w:val="Fuentedeprrafopredeter"/>
    <w:link w:val="Ttulo9"/>
    <w:uiPriority w:val="9"/>
    <w:semiHidden/>
    <w:rsid w:val="0066560A"/>
    <w:rPr>
      <w:rFonts w:ascii="Times New Roman" w:eastAsiaTheme="majorEastAsia" w:hAnsi="Times New Roman" w:cstheme="majorBidi"/>
      <w:color w:val="272727" w:themeColor="text1" w:themeTint="D8"/>
      <w:kern w:val="2"/>
      <w:sz w:val="24"/>
      <w:szCs w:val="24"/>
    </w:rPr>
  </w:style>
  <w:style w:type="character" w:customStyle="1" w:styleId="PuestoCar">
    <w:name w:val="Puesto Car"/>
    <w:basedOn w:val="Fuentedeprrafopredeter"/>
    <w:uiPriority w:val="10"/>
    <w:rsid w:val="0066560A"/>
    <w:rPr>
      <w:rFonts w:asciiTheme="majorHAnsi" w:eastAsiaTheme="majorEastAsia" w:hAnsiTheme="majorHAnsi" w:cstheme="majorBidi"/>
      <w:spacing w:val="-10"/>
      <w:kern w:val="28"/>
      <w:sz w:val="56"/>
      <w:szCs w:val="56"/>
    </w:rPr>
  </w:style>
  <w:style w:type="character" w:customStyle="1" w:styleId="SubttuloCar">
    <w:name w:val="Subtítulo Car"/>
    <w:basedOn w:val="Fuentedeprrafopredeter"/>
    <w:uiPriority w:val="11"/>
    <w:rsid w:val="0066560A"/>
    <w:rPr>
      <w:rFonts w:ascii="Times New Roman" w:eastAsiaTheme="majorEastAsia" w:hAnsi="Times New Roman" w:cstheme="majorBidi"/>
      <w:color w:val="595959" w:themeColor="text1" w:themeTint="A6"/>
      <w:spacing w:val="15"/>
      <w:kern w:val="2"/>
      <w:sz w:val="28"/>
      <w:szCs w:val="28"/>
    </w:rPr>
  </w:style>
  <w:style w:type="paragraph" w:styleId="Cita">
    <w:name w:val="Quote"/>
    <w:basedOn w:val="Normal"/>
    <w:next w:val="Normal"/>
    <w:link w:val="CitaCar"/>
    <w:uiPriority w:val="29"/>
    <w:qFormat/>
    <w:rsid w:val="0066560A"/>
    <w:pPr>
      <w:spacing w:before="160" w:after="160" w:line="278" w:lineRule="auto"/>
      <w:jc w:val="center"/>
    </w:pPr>
    <w:rPr>
      <w:rFonts w:eastAsiaTheme="minorHAnsi" w:cstheme="minorBidi"/>
      <w:i/>
      <w:iCs/>
      <w:color w:val="404040" w:themeColor="text1" w:themeTint="BF"/>
      <w:kern w:val="2"/>
      <w:sz w:val="24"/>
      <w:szCs w:val="24"/>
      <w:lang w:val="es-CO" w:eastAsia="en-US"/>
    </w:rPr>
  </w:style>
  <w:style w:type="character" w:customStyle="1" w:styleId="CitaCar">
    <w:name w:val="Cita Car"/>
    <w:basedOn w:val="Fuentedeprrafopredeter"/>
    <w:link w:val="Cita"/>
    <w:uiPriority w:val="29"/>
    <w:rsid w:val="0066560A"/>
    <w:rPr>
      <w:rFonts w:ascii="Times New Roman" w:hAnsi="Times New Roman"/>
      <w:i/>
      <w:iCs/>
      <w:color w:val="404040" w:themeColor="text1" w:themeTint="BF"/>
      <w:kern w:val="2"/>
      <w:sz w:val="24"/>
      <w:szCs w:val="24"/>
    </w:rPr>
  </w:style>
  <w:style w:type="paragraph" w:styleId="Prrafodelista">
    <w:name w:val="List Paragraph"/>
    <w:basedOn w:val="Normal"/>
    <w:uiPriority w:val="34"/>
    <w:qFormat/>
    <w:rsid w:val="0066560A"/>
    <w:pPr>
      <w:spacing w:after="160" w:line="278" w:lineRule="auto"/>
      <w:ind w:left="720"/>
      <w:contextualSpacing/>
    </w:pPr>
    <w:rPr>
      <w:rFonts w:eastAsiaTheme="minorHAnsi" w:cstheme="minorBidi"/>
      <w:kern w:val="2"/>
      <w:sz w:val="24"/>
      <w:szCs w:val="24"/>
      <w:lang w:val="es-CO" w:eastAsia="en-US"/>
    </w:rPr>
  </w:style>
  <w:style w:type="character" w:styleId="nfasisintenso">
    <w:name w:val="Intense Emphasis"/>
    <w:basedOn w:val="Fuentedeprrafopredeter"/>
    <w:uiPriority w:val="21"/>
    <w:qFormat/>
    <w:rsid w:val="0066560A"/>
    <w:rPr>
      <w:i/>
      <w:iCs/>
      <w:color w:val="2F5496" w:themeColor="accent1" w:themeShade="BF"/>
    </w:rPr>
  </w:style>
  <w:style w:type="paragraph" w:styleId="Citadestacada">
    <w:name w:val="Intense Quote"/>
    <w:basedOn w:val="Normal"/>
    <w:next w:val="Normal"/>
    <w:link w:val="CitadestacadaCar"/>
    <w:uiPriority w:val="30"/>
    <w:qFormat/>
    <w:rsid w:val="0066560A"/>
    <w:pPr>
      <w:pBdr>
        <w:top w:val="single" w:sz="4" w:space="10" w:color="2F5496" w:themeColor="accent1" w:themeShade="BF"/>
        <w:bottom w:val="single" w:sz="4" w:space="10" w:color="2F5496" w:themeColor="accent1" w:themeShade="BF"/>
      </w:pBdr>
      <w:spacing w:before="360" w:after="360" w:line="278" w:lineRule="auto"/>
      <w:ind w:left="864" w:right="864"/>
      <w:jc w:val="center"/>
    </w:pPr>
    <w:rPr>
      <w:rFonts w:eastAsiaTheme="minorHAnsi" w:cstheme="minorBidi"/>
      <w:i/>
      <w:iCs/>
      <w:color w:val="2F5496" w:themeColor="accent1" w:themeShade="BF"/>
      <w:kern w:val="2"/>
      <w:sz w:val="24"/>
      <w:szCs w:val="24"/>
      <w:lang w:val="es-CO" w:eastAsia="en-US"/>
    </w:rPr>
  </w:style>
  <w:style w:type="character" w:customStyle="1" w:styleId="CitadestacadaCar">
    <w:name w:val="Cita destacada Car"/>
    <w:basedOn w:val="Fuentedeprrafopredeter"/>
    <w:link w:val="Citadestacada"/>
    <w:uiPriority w:val="30"/>
    <w:rsid w:val="0066560A"/>
    <w:rPr>
      <w:rFonts w:ascii="Times New Roman" w:hAnsi="Times New Roman"/>
      <w:i/>
      <w:iCs/>
      <w:color w:val="2F5496" w:themeColor="accent1" w:themeShade="BF"/>
      <w:kern w:val="2"/>
      <w:sz w:val="24"/>
      <w:szCs w:val="24"/>
    </w:rPr>
  </w:style>
  <w:style w:type="character" w:styleId="Referenciaintensa">
    <w:name w:val="Intense Reference"/>
    <w:basedOn w:val="Fuentedeprrafopredeter"/>
    <w:uiPriority w:val="32"/>
    <w:qFormat/>
    <w:rsid w:val="0066560A"/>
    <w:rPr>
      <w:b/>
      <w:bCs/>
      <w:smallCaps/>
      <w:color w:val="2F5496" w:themeColor="accent1" w:themeShade="BF"/>
      <w:spacing w:val="5"/>
    </w:rPr>
  </w:style>
  <w:style w:type="paragraph" w:styleId="NormalWeb">
    <w:name w:val="Normal (Web)"/>
    <w:basedOn w:val="Normal"/>
    <w:uiPriority w:val="99"/>
    <w:semiHidden/>
    <w:unhideWhenUsed/>
    <w:rsid w:val="0066560A"/>
    <w:pPr>
      <w:spacing w:before="100" w:beforeAutospacing="1" w:after="100" w:afterAutospacing="1"/>
    </w:pPr>
    <w:rPr>
      <w:sz w:val="24"/>
      <w:szCs w:val="24"/>
      <w:lang w:val="es-CO"/>
    </w:rPr>
  </w:style>
  <w:style w:type="character" w:styleId="Fuerte">
    <w:name w:val="Strong"/>
    <w:basedOn w:val="Fuentedeprrafopredeter"/>
    <w:uiPriority w:val="22"/>
    <w:qFormat/>
    <w:rsid w:val="0066560A"/>
    <w:rPr>
      <w:b/>
      <w:bCs/>
    </w:rPr>
  </w:style>
  <w:style w:type="paragraph" w:styleId="Descripcin">
    <w:name w:val="caption"/>
    <w:aliases w:val="Epígrafe Tablas"/>
    <w:basedOn w:val="Normal"/>
    <w:next w:val="Normal"/>
    <w:link w:val="DescripcinCar"/>
    <w:uiPriority w:val="35"/>
    <w:unhideWhenUsed/>
    <w:qFormat/>
    <w:rsid w:val="0066560A"/>
    <w:rPr>
      <w:rFonts w:ascii="Calibri" w:eastAsia="Calibri" w:hAnsi="Calibri" w:cs="Calibri"/>
      <w:b/>
      <w:bCs/>
      <w:smallCaps/>
      <w:color w:val="595959" w:themeColor="text1" w:themeTint="A6"/>
      <w:sz w:val="24"/>
      <w:szCs w:val="24"/>
      <w:lang w:val="es-CO"/>
    </w:rPr>
  </w:style>
  <w:style w:type="character" w:customStyle="1" w:styleId="DescripcinCar">
    <w:name w:val="Descripción Car"/>
    <w:aliases w:val="Epígrafe Tablas Car"/>
    <w:link w:val="Descripcin"/>
    <w:uiPriority w:val="35"/>
    <w:locked/>
    <w:rsid w:val="0066560A"/>
    <w:rPr>
      <w:rFonts w:ascii="Calibri" w:eastAsia="Calibri" w:hAnsi="Calibri" w:cs="Calibri"/>
      <w:b/>
      <w:bCs/>
      <w:smallCaps/>
      <w:color w:val="595959" w:themeColor="text1" w:themeTint="A6"/>
      <w:sz w:val="24"/>
      <w:szCs w:val="24"/>
      <w:lang w:eastAsia="es-CO"/>
    </w:rPr>
  </w:style>
  <w:style w:type="paragraph" w:styleId="Sinespaciado">
    <w:name w:val="No Spacing"/>
    <w:uiPriority w:val="1"/>
    <w:qFormat/>
    <w:rsid w:val="0066560A"/>
  </w:style>
  <w:style w:type="table" w:customStyle="1" w:styleId="Sombreadoclaro-nfasis11">
    <w:name w:val="Sombreado claro - Énfasis 11"/>
    <w:basedOn w:val="Tablanormal"/>
    <w:uiPriority w:val="60"/>
    <w:rsid w:val="0066560A"/>
    <w:rPr>
      <w:color w:val="2F5496" w:themeColor="accent1" w:themeShade="BF"/>
      <w:lang w:val="en-US"/>
    </w:rPr>
    <w:tblPr>
      <w:tblStyleRowBandSize w:val="1"/>
      <w:tblStyleColBandSize w:val="1"/>
      <w:tblBorders>
        <w:top w:val="single" w:sz="8" w:space="0" w:color="4472C4" w:themeColor="accent1"/>
        <w:bottom w:val="single" w:sz="8" w:space="0" w:color="4472C4" w:themeColor="accent1"/>
      </w:tblBorders>
    </w:tblPr>
    <w:tblStylePr w:type="fir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la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left w:val="nil"/>
          <w:right w:val="nil"/>
          <w:insideH w:val="nil"/>
          <w:insideV w:val="nil"/>
        </w:tcBorders>
        <w:shd w:val="clear" w:color="auto" w:fill="D0DBF0" w:themeFill="accent1" w:themeFillTint="3F"/>
      </w:tcPr>
    </w:tblStylePr>
  </w:style>
  <w:style w:type="paragraph" w:styleId="Bibliografa">
    <w:name w:val="Bibliography"/>
    <w:basedOn w:val="Normal"/>
    <w:next w:val="Normal"/>
    <w:uiPriority w:val="37"/>
    <w:unhideWhenUsed/>
    <w:rsid w:val="0066560A"/>
    <w:pPr>
      <w:spacing w:after="160" w:line="259" w:lineRule="auto"/>
    </w:pPr>
    <w:rPr>
      <w:rFonts w:eastAsiaTheme="minorHAnsi" w:cstheme="minorBidi"/>
      <w:sz w:val="22"/>
      <w:szCs w:val="22"/>
      <w:lang w:val="es-CO" w:eastAsia="en-US"/>
    </w:rPr>
  </w:style>
  <w:style w:type="paragraph" w:styleId="TtuloTDC">
    <w:name w:val="TOC Heading"/>
    <w:next w:val="Normal"/>
    <w:uiPriority w:val="39"/>
    <w:unhideWhenUsed/>
    <w:qFormat/>
    <w:rsid w:val="0066560A"/>
    <w:pPr>
      <w:spacing w:before="240" w:line="259" w:lineRule="auto"/>
    </w:pPr>
    <w:rPr>
      <w:rFonts w:asciiTheme="majorHAnsi" w:hAnsiTheme="majorHAnsi"/>
      <w:color w:val="2F5496" w:themeColor="accent1" w:themeShade="BF"/>
      <w:sz w:val="32"/>
      <w:szCs w:val="32"/>
    </w:rPr>
  </w:style>
  <w:style w:type="paragraph" w:styleId="TDC1">
    <w:name w:val="toc 1"/>
    <w:basedOn w:val="Normal"/>
    <w:next w:val="Normal"/>
    <w:autoRedefine/>
    <w:uiPriority w:val="39"/>
    <w:unhideWhenUsed/>
    <w:rsid w:val="0066560A"/>
    <w:pPr>
      <w:spacing w:after="100" w:line="278" w:lineRule="auto"/>
    </w:pPr>
    <w:rPr>
      <w:rFonts w:eastAsiaTheme="minorHAnsi" w:cstheme="minorBidi"/>
      <w:kern w:val="2"/>
      <w:sz w:val="24"/>
      <w:szCs w:val="24"/>
      <w:lang w:val="es-CO" w:eastAsia="en-US"/>
    </w:rPr>
  </w:style>
  <w:style w:type="paragraph" w:styleId="TDC3">
    <w:name w:val="toc 3"/>
    <w:basedOn w:val="Normal"/>
    <w:next w:val="Normal"/>
    <w:autoRedefine/>
    <w:uiPriority w:val="39"/>
    <w:unhideWhenUsed/>
    <w:rsid w:val="0066560A"/>
    <w:pPr>
      <w:spacing w:after="100" w:line="278" w:lineRule="auto"/>
      <w:ind w:left="480"/>
    </w:pPr>
    <w:rPr>
      <w:rFonts w:eastAsiaTheme="minorHAnsi" w:cstheme="minorBidi"/>
      <w:kern w:val="2"/>
      <w:sz w:val="24"/>
      <w:szCs w:val="24"/>
      <w:lang w:val="es-CO" w:eastAsia="en-US"/>
    </w:rPr>
  </w:style>
  <w:style w:type="paragraph" w:styleId="TDC2">
    <w:name w:val="toc 2"/>
    <w:basedOn w:val="Normal"/>
    <w:next w:val="Normal"/>
    <w:autoRedefine/>
    <w:uiPriority w:val="39"/>
    <w:unhideWhenUsed/>
    <w:rsid w:val="0066560A"/>
    <w:pPr>
      <w:tabs>
        <w:tab w:val="left" w:pos="960"/>
        <w:tab w:val="left" w:pos="1276"/>
        <w:tab w:val="right" w:leader="dot" w:pos="9395"/>
      </w:tabs>
      <w:spacing w:after="100" w:line="278" w:lineRule="auto"/>
      <w:ind w:left="240"/>
    </w:pPr>
    <w:rPr>
      <w:rFonts w:eastAsiaTheme="minorHAnsi" w:cstheme="minorBidi"/>
      <w:kern w:val="2"/>
      <w:sz w:val="24"/>
      <w:szCs w:val="24"/>
      <w:lang w:val="es-CO" w:eastAsia="en-US"/>
    </w:rPr>
  </w:style>
  <w:style w:type="paragraph" w:styleId="Tabladeilustraciones">
    <w:name w:val="table of figures"/>
    <w:basedOn w:val="Normal"/>
    <w:next w:val="Normal"/>
    <w:uiPriority w:val="99"/>
    <w:unhideWhenUsed/>
    <w:rsid w:val="0066560A"/>
    <w:pPr>
      <w:spacing w:line="278" w:lineRule="auto"/>
    </w:pPr>
    <w:rPr>
      <w:rFonts w:eastAsiaTheme="minorHAnsi" w:cstheme="minorBidi"/>
      <w:kern w:val="2"/>
      <w:sz w:val="24"/>
      <w:szCs w:val="24"/>
      <w:lang w:val="es-CO" w:eastAsia="en-US"/>
    </w:rPr>
  </w:style>
  <w:style w:type="character" w:styleId="Refdecomentario">
    <w:name w:val="annotation reference"/>
    <w:basedOn w:val="Fuentedeprrafopredeter"/>
    <w:uiPriority w:val="99"/>
    <w:semiHidden/>
    <w:unhideWhenUsed/>
    <w:rsid w:val="0066560A"/>
    <w:rPr>
      <w:sz w:val="16"/>
      <w:szCs w:val="16"/>
    </w:rPr>
  </w:style>
  <w:style w:type="paragraph" w:styleId="Textocomentario">
    <w:name w:val="annotation text"/>
    <w:basedOn w:val="Normal"/>
    <w:link w:val="TextocomentarioCar"/>
    <w:uiPriority w:val="99"/>
    <w:unhideWhenUsed/>
    <w:rsid w:val="0066560A"/>
    <w:pPr>
      <w:spacing w:after="160"/>
    </w:pPr>
    <w:rPr>
      <w:rFonts w:eastAsiaTheme="minorHAnsi" w:cstheme="minorBidi"/>
      <w:kern w:val="2"/>
      <w:lang w:val="es-CO" w:eastAsia="en-US"/>
    </w:rPr>
  </w:style>
  <w:style w:type="character" w:customStyle="1" w:styleId="TextocomentarioCar">
    <w:name w:val="Texto comentario Car"/>
    <w:basedOn w:val="Fuentedeprrafopredeter"/>
    <w:link w:val="Textocomentario"/>
    <w:uiPriority w:val="99"/>
    <w:rsid w:val="0066560A"/>
    <w:rPr>
      <w:rFonts w:ascii="Times New Roman" w:hAnsi="Times New Roman"/>
      <w:kern w:val="2"/>
      <w:sz w:val="20"/>
      <w:szCs w:val="20"/>
    </w:rPr>
  </w:style>
  <w:style w:type="paragraph" w:styleId="Asuntodelcomentario">
    <w:name w:val="annotation subject"/>
    <w:basedOn w:val="Textocomentario"/>
    <w:next w:val="Textocomentario"/>
    <w:link w:val="AsuntodelcomentarioCar"/>
    <w:uiPriority w:val="99"/>
    <w:semiHidden/>
    <w:unhideWhenUsed/>
    <w:rsid w:val="0066560A"/>
    <w:rPr>
      <w:b/>
      <w:bCs/>
    </w:rPr>
  </w:style>
  <w:style w:type="character" w:customStyle="1" w:styleId="AsuntodelcomentarioCar">
    <w:name w:val="Asunto del comentario Car"/>
    <w:basedOn w:val="TextocomentarioCar"/>
    <w:link w:val="Asuntodelcomentario"/>
    <w:uiPriority w:val="99"/>
    <w:semiHidden/>
    <w:rsid w:val="0066560A"/>
    <w:rPr>
      <w:rFonts w:ascii="Times New Roman" w:hAnsi="Times New Roman"/>
      <w:b/>
      <w:bCs/>
      <w:kern w:val="2"/>
      <w:sz w:val="20"/>
      <w:szCs w:val="20"/>
    </w:rPr>
  </w:style>
  <w:style w:type="paragraph" w:styleId="Revisin">
    <w:name w:val="Revision"/>
    <w:hidden/>
    <w:uiPriority w:val="99"/>
    <w:semiHidden/>
    <w:rsid w:val="00C97849"/>
    <w:rPr>
      <w:lang w:val="es-ES_tradnl" w:eastAsia="es-ES"/>
    </w:rPr>
  </w:style>
  <w:style w:type="character" w:customStyle="1" w:styleId="Mencinsinresolver1">
    <w:name w:val="Mención sin resolver1"/>
    <w:basedOn w:val="Fuentedeprrafopredeter"/>
    <w:uiPriority w:val="99"/>
    <w:semiHidden/>
    <w:unhideWhenUsed/>
    <w:rsid w:val="005D772B"/>
    <w:rPr>
      <w:color w:val="605E5C"/>
      <w:shd w:val="clear" w:color="auto" w:fill="E1DFDD"/>
    </w:rPr>
  </w:style>
  <w:style w:type="paragraph" w:customStyle="1" w:styleId="Default">
    <w:name w:val="Default"/>
    <w:rsid w:val="00065F9D"/>
    <w:pPr>
      <w:autoSpaceDE w:val="0"/>
      <w:autoSpaceDN w:val="0"/>
      <w:adjustRightInd w:val="0"/>
    </w:pPr>
    <w:rPr>
      <w:color w:val="000000"/>
      <w:sz w:val="24"/>
      <w:szCs w:val="24"/>
    </w:rPr>
  </w:style>
  <w:style w:type="paragraph" w:styleId="Subttulo">
    <w:name w:val="Subtitle"/>
    <w:basedOn w:val="Normal"/>
    <w:next w:val="Normal"/>
    <w:uiPriority w:val="11"/>
    <w:qFormat/>
    <w:pPr>
      <w:spacing w:after="160" w:line="278" w:lineRule="auto"/>
    </w:pPr>
    <w:rPr>
      <w:color w:val="595959"/>
      <w:sz w:val="28"/>
      <w:szCs w:val="28"/>
    </w:rPr>
  </w:style>
  <w:style w:type="paragraph" w:customStyle="1" w:styleId="p1">
    <w:name w:val="p1"/>
    <w:basedOn w:val="Normal"/>
    <w:rsid w:val="00693EB1"/>
    <w:rPr>
      <w:rFonts w:ascii="Helvetica" w:eastAsiaTheme="minorEastAsia" w:hAnsi="Helvetica"/>
      <w:sz w:val="18"/>
      <w:szCs w:val="18"/>
      <w:lang w:val="es-CO" w:eastAsia="es-ES"/>
    </w:rPr>
  </w:style>
  <w:style w:type="character" w:customStyle="1" w:styleId="s1">
    <w:name w:val="s1"/>
    <w:basedOn w:val="Fuentedeprrafopredeter"/>
    <w:rsid w:val="00693EB1"/>
    <w:rPr>
      <w:rFonts w:ascii="Helvetica" w:hAnsi="Helvetica" w:hint="default"/>
      <w:b w:val="0"/>
      <w:bCs w:val="0"/>
      <w:i w:val="0"/>
      <w:iCs w:val="0"/>
      <w:sz w:val="18"/>
      <w:szCs w:val="18"/>
    </w:rPr>
  </w:style>
  <w:style w:type="paragraph" w:styleId="Textonotapie">
    <w:name w:val="footnote text"/>
    <w:aliases w:val="Footnote Text Char Char Char Char Char,Footnote Text Char Char Char Char,Footnote reference,FA Fu,Footnote Text Char Char Char,texto de nota al pie,Texto nota pie Car Car Car,Texto nota pie Car Car,Footnote Text,FA Fu C,Footnote Text Char"/>
    <w:basedOn w:val="Normal"/>
    <w:link w:val="TextonotapieCar"/>
    <w:uiPriority w:val="99"/>
    <w:rsid w:val="009D1F78"/>
    <w:rPr>
      <w:lang w:val="es-ES_tradnl" w:eastAsia="es-ES"/>
    </w:rPr>
  </w:style>
  <w:style w:type="character" w:customStyle="1" w:styleId="TextonotapieCar">
    <w:name w:val="Texto nota pie Car"/>
    <w:aliases w:val="Footnote Text Char Char Char Char Char Car,Footnote Text Char Char Char Char Car,Footnote reference Car,FA Fu Car,Footnote Text Char Char Char Car,texto de nota al pie Car,Texto nota pie Car Car Car Car,Texto nota pie Car Car Car1"/>
    <w:basedOn w:val="Fuentedeprrafopredeter"/>
    <w:link w:val="Textonotapie"/>
    <w:uiPriority w:val="99"/>
    <w:rsid w:val="009D1F78"/>
    <w:rPr>
      <w:lang w:val="es-ES_tradnl" w:eastAsia="es-ES"/>
    </w:rPr>
  </w:style>
  <w:style w:type="character" w:styleId="Refdenotaalpie">
    <w:name w:val="footnote reference"/>
    <w:aliases w:val="Texto de nota al pie,Footnotes refss,Appel note de bas de page,Ref. de nota al pie 2"/>
    <w:basedOn w:val="Fuentedeprrafopredeter"/>
    <w:uiPriority w:val="99"/>
    <w:rsid w:val="009D1F78"/>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mailto:proyectou1@hotmail.com" TargetMode="Externa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_rels/footer2.xml.rels><?xml version="1.0" encoding="UTF-8" standalone="yes"?>
<Relationships xmlns="http://schemas.openxmlformats.org/package/2006/relationships"><Relationship Id="rId2" Type="http://schemas.openxmlformats.org/officeDocument/2006/relationships/hyperlink" Target="http://www.habitatbogota.gov.co" TargetMode="External"/><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5YbZW9il5Egh+Y3goAC1gYDhrnA==">CgMxLjAyDmgubHd0Ymh2M2Nic3A3OAByITFxN0RvQXlCVWtsQlJTcXRRa3N6ZnlxOGpvby1yOF9nVg==</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8</Pages>
  <Words>3516</Words>
  <Characters>19340</Characters>
  <Application>Microsoft Office Word</Application>
  <DocSecurity>0</DocSecurity>
  <Lines>161</Lines>
  <Paragraphs>45</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22811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Shirley Andrea Zamora Mora</dc:creator>
  <cp:lastModifiedBy>Mauricio Hernandez Beltran</cp:lastModifiedBy>
  <cp:revision>2</cp:revision>
  <dcterms:created xsi:type="dcterms:W3CDTF">2026-03-04T21:59:00Z</dcterms:created>
  <dcterms:modified xsi:type="dcterms:W3CDTF">2026-03-04T21:59:00Z</dcterms:modified>
</cp:coreProperties>
</file>